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C17E0A" w:rsidP="00C13F27">
      <w:bookmarkStart w:id="0" w:name="_GoBack"/>
      <w:bookmarkEnd w:id="0"/>
      <w:r>
        <w:t>PUBLIC MATTER</w:t>
      </w:r>
      <w:r w:rsidR="000D4BF4">
        <w:t>—</w:t>
      </w:r>
      <w:r>
        <w:t>DESIGNATED FOR PUBLICATION</w:t>
      </w:r>
    </w:p>
    <w:p w:rsidR="00832223" w:rsidRDefault="00832223" w:rsidP="00CC6B7C"/>
    <w:p w:rsidR="00CC6B7C" w:rsidRDefault="0010422E" w:rsidP="00CC6B7C">
      <w:r>
        <w:tab/>
      </w:r>
      <w:r>
        <w:tab/>
      </w:r>
      <w:r>
        <w:tab/>
      </w:r>
      <w:r>
        <w:tab/>
      </w:r>
      <w:r>
        <w:tab/>
      </w:r>
      <w:r>
        <w:tab/>
      </w:r>
      <w:r>
        <w:tab/>
        <w:t>Filed August 27, 2019</w:t>
      </w:r>
    </w:p>
    <w:p w:rsidR="00CE7F54" w:rsidRPr="00CC6B7C" w:rsidRDefault="00CE7F54" w:rsidP="00CC6B7C"/>
    <w:p w:rsidR="006A5F29" w:rsidRDefault="006A5F29" w:rsidP="00192F9A">
      <w:pPr>
        <w:contextualSpacing/>
      </w:pPr>
    </w:p>
    <w:p w:rsidR="00832223" w:rsidRPr="00C11CC8" w:rsidRDefault="00832223" w:rsidP="00C13F27"/>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2270DB" w:rsidP="00357051">
            <w:bookmarkStart w:id="1" w:name="Respondent"/>
            <w:bookmarkEnd w:id="1"/>
            <w:r>
              <w:t>RITA MAE LINGWOOD</w:t>
            </w:r>
            <w:r w:rsidR="00832223" w:rsidRPr="008F3169">
              <w:t>,</w:t>
            </w:r>
          </w:p>
          <w:p w:rsidR="00832223" w:rsidRDefault="00832223" w:rsidP="00357051"/>
          <w:p w:rsidR="00832223" w:rsidRPr="00C11CC8" w:rsidRDefault="002270DB" w:rsidP="00357051">
            <w:bookmarkStart w:id="2" w:name="type"/>
            <w:bookmarkEnd w:id="2"/>
            <w:r>
              <w:t>State Bar</w:t>
            </w:r>
            <w:r w:rsidR="00C17E0A">
              <w:t xml:space="preserve"> No.</w:t>
            </w:r>
            <w:r w:rsidR="00832223">
              <w:t xml:space="preserve"> </w:t>
            </w:r>
            <w:bookmarkStart w:id="3" w:name="memno"/>
            <w:bookmarkStart w:id="4" w:name="MemberNo"/>
            <w:bookmarkEnd w:id="3"/>
            <w:bookmarkEnd w:id="4"/>
            <w:r>
              <w:t>214145</w:t>
            </w:r>
            <w:r w:rsidR="00C17E0A">
              <w:t>.</w:t>
            </w:r>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832223" w:rsidRPr="005E6703" w:rsidRDefault="00832223" w:rsidP="00357051">
            <w:r w:rsidRPr="005E6703">
              <w:t xml:space="preserve">No. </w:t>
            </w:r>
            <w:bookmarkStart w:id="5" w:name="caseno"/>
            <w:bookmarkEnd w:id="5"/>
            <w:r w:rsidR="002270DB">
              <w:t>16-O-17302</w:t>
            </w:r>
          </w:p>
          <w:p w:rsidR="00832223" w:rsidRDefault="00832223" w:rsidP="00357051"/>
          <w:p w:rsidR="00832223" w:rsidRPr="00D90643" w:rsidRDefault="00C17E0A" w:rsidP="00357051">
            <w:bookmarkStart w:id="6" w:name="title"/>
            <w:bookmarkEnd w:id="6"/>
            <w:r>
              <w:t>OPINION AND ORDER</w:t>
            </w:r>
          </w:p>
        </w:tc>
      </w:tr>
    </w:tbl>
    <w:p w:rsidR="00832223" w:rsidRDefault="00832223" w:rsidP="00832223"/>
    <w:p w:rsidR="00513B91" w:rsidRDefault="00CE5D39" w:rsidP="004D229E">
      <w:pPr>
        <w:spacing w:line="480" w:lineRule="auto"/>
        <w:ind w:firstLine="720"/>
      </w:pPr>
      <w:bookmarkStart w:id="7" w:name="start"/>
      <w:bookmarkEnd w:id="7"/>
      <w:r>
        <w:t xml:space="preserve">Rita Mae </w:t>
      </w:r>
      <w:proofErr w:type="spellStart"/>
      <w:r>
        <w:t>Lingwood</w:t>
      </w:r>
      <w:proofErr w:type="spellEnd"/>
      <w:r w:rsidR="00C2238F">
        <w:t xml:space="preserve"> borrowed funds from a trust while serving as its trustee pursuant to a clause in the trust that permitted such transactions.</w:t>
      </w:r>
      <w:r w:rsidR="004D229E">
        <w:t xml:space="preserve">  </w:t>
      </w:r>
      <w:r w:rsidR="006C26AB">
        <w:t xml:space="preserve">The Office of Chief Trial Counsel of the State Bar (OCTC) </w:t>
      </w:r>
      <w:r w:rsidR="00C23396">
        <w:t xml:space="preserve">alleged that </w:t>
      </w:r>
      <w:r w:rsidR="00513B91">
        <w:t xml:space="preserve">the </w:t>
      </w:r>
      <w:r w:rsidR="00C2238F">
        <w:t xml:space="preserve">$60,000 </w:t>
      </w:r>
      <w:r w:rsidR="00513B91">
        <w:t xml:space="preserve">loan </w:t>
      </w:r>
      <w:r w:rsidR="00C2238F">
        <w:t xml:space="preserve">was </w:t>
      </w:r>
      <w:r w:rsidR="00BB7BFA">
        <w:t xml:space="preserve">an improper </w:t>
      </w:r>
      <w:r w:rsidR="00082329">
        <w:t xml:space="preserve">business </w:t>
      </w:r>
      <w:r w:rsidR="00513B91">
        <w:t>transaction with a client</w:t>
      </w:r>
      <w:r w:rsidR="00C2238F">
        <w:t xml:space="preserve"> and also</w:t>
      </w:r>
      <w:r w:rsidR="00513B91">
        <w:t xml:space="preserve"> a misappropriation of trust funds.  </w:t>
      </w:r>
      <w:r w:rsidR="00E0498A">
        <w:t xml:space="preserve">OCTC also charged </w:t>
      </w:r>
      <w:proofErr w:type="spellStart"/>
      <w:r w:rsidR="00E0498A">
        <w:t>Lingwood</w:t>
      </w:r>
      <w:proofErr w:type="spellEnd"/>
      <w:r w:rsidR="00E0498A">
        <w:t xml:space="preserve"> with </w:t>
      </w:r>
      <w:r w:rsidR="006C26AB">
        <w:t>failing t</w:t>
      </w:r>
      <w:r w:rsidR="00E0498A">
        <w:t xml:space="preserve">o comply with the Probate Code </w:t>
      </w:r>
      <w:r w:rsidR="0008642F">
        <w:t>and making misrepresentations regarding the transaction.</w:t>
      </w:r>
      <w:r w:rsidR="00C51F88">
        <w:t xml:space="preserve">  </w:t>
      </w:r>
    </w:p>
    <w:p w:rsidR="00CE5D39" w:rsidRDefault="00C51F88" w:rsidP="00994DFE">
      <w:pPr>
        <w:spacing w:line="480" w:lineRule="auto"/>
        <w:ind w:firstLine="720"/>
      </w:pPr>
      <w:r>
        <w:t>The hearing judge found</w:t>
      </w:r>
      <w:r w:rsidR="008968AB">
        <w:t xml:space="preserve"> that </w:t>
      </w:r>
      <w:proofErr w:type="spellStart"/>
      <w:r w:rsidR="008968AB">
        <w:t>Lingwood</w:t>
      </w:r>
      <w:proofErr w:type="spellEnd"/>
      <w:r w:rsidR="008968AB">
        <w:t xml:space="preserve"> </w:t>
      </w:r>
      <w:r w:rsidR="00C84434">
        <w:t xml:space="preserve">both misappropriated the $60,000 and improperly entered into </w:t>
      </w:r>
      <w:r w:rsidR="00994DFE">
        <w:t>a</w:t>
      </w:r>
      <w:r w:rsidR="008D323F">
        <w:t xml:space="preserve"> loan</w:t>
      </w:r>
      <w:r w:rsidR="00994DFE">
        <w:t xml:space="preserve"> </w:t>
      </w:r>
      <w:r w:rsidR="00C84434">
        <w:t>transaction</w:t>
      </w:r>
      <w:r w:rsidR="00994DFE">
        <w:t xml:space="preserve"> for </w:t>
      </w:r>
      <w:r w:rsidR="008D323F">
        <w:t>the same</w:t>
      </w:r>
      <w:r w:rsidR="00994DFE">
        <w:t xml:space="preserve"> $60,000</w:t>
      </w:r>
      <w:r w:rsidR="00C84434">
        <w:t xml:space="preserve">.  The judge </w:t>
      </w:r>
      <w:r w:rsidR="00994DFE">
        <w:t xml:space="preserve">also found that </w:t>
      </w:r>
      <w:proofErr w:type="spellStart"/>
      <w:r w:rsidR="00994DFE">
        <w:t>Lingwood</w:t>
      </w:r>
      <w:proofErr w:type="spellEnd"/>
      <w:r w:rsidR="00994DFE">
        <w:t xml:space="preserve"> made mi</w:t>
      </w:r>
      <w:r w:rsidR="00A559A6">
        <w:t xml:space="preserve">srepresentations about the loan, but </w:t>
      </w:r>
      <w:r w:rsidR="00C84434">
        <w:t xml:space="preserve">dismissed the charge that </w:t>
      </w:r>
      <w:r w:rsidR="00AD3454">
        <w:t>she</w:t>
      </w:r>
      <w:r w:rsidR="00C84434">
        <w:t xml:space="preserve"> failed to comply with the Probate Code as duplicative</w:t>
      </w:r>
      <w:r w:rsidR="00AA5F28">
        <w:t xml:space="preserve"> of the improper loan charge</w:t>
      </w:r>
      <w:r w:rsidR="00C84434">
        <w:t xml:space="preserve">.  </w:t>
      </w:r>
      <w:r w:rsidR="00B71D59">
        <w:t xml:space="preserve">The judge recommended that </w:t>
      </w:r>
      <w:proofErr w:type="spellStart"/>
      <w:r w:rsidR="00B71D59">
        <w:t>Lingwood</w:t>
      </w:r>
      <w:proofErr w:type="spellEnd"/>
      <w:r w:rsidR="00B71D59">
        <w:t xml:space="preserve"> be disbarred.</w:t>
      </w:r>
    </w:p>
    <w:p w:rsidR="00053DEE" w:rsidRPr="004D229E" w:rsidRDefault="00B71D59" w:rsidP="00AD3454">
      <w:pPr>
        <w:spacing w:line="480" w:lineRule="auto"/>
        <w:ind w:right="-144" w:firstLine="720"/>
      </w:pPr>
      <w:proofErr w:type="spellStart"/>
      <w:r>
        <w:t>Lingwood</w:t>
      </w:r>
      <w:proofErr w:type="spellEnd"/>
      <w:r>
        <w:t xml:space="preserve"> appeals</w:t>
      </w:r>
      <w:r w:rsidR="00B57DD2">
        <w:t>,</w:t>
      </w:r>
      <w:r>
        <w:t xml:space="preserve"> asserting that the evidence does not support misappropriation</w:t>
      </w:r>
      <w:r w:rsidR="00AA5F28">
        <w:t xml:space="preserve"> </w:t>
      </w:r>
      <w:r w:rsidR="003C0036">
        <w:t xml:space="preserve">and misrepresentation.  </w:t>
      </w:r>
      <w:r w:rsidR="00A559A6">
        <w:t>In her pretrial statement</w:t>
      </w:r>
      <w:r w:rsidR="008D323F">
        <w:t xml:space="preserve">, </w:t>
      </w:r>
      <w:proofErr w:type="spellStart"/>
      <w:r w:rsidR="008D323F">
        <w:t>Lingwood</w:t>
      </w:r>
      <w:proofErr w:type="spellEnd"/>
      <w:r w:rsidR="008D323F">
        <w:t xml:space="preserve"> </w:t>
      </w:r>
      <w:r w:rsidR="00AD3454">
        <w:t>acknowled</w:t>
      </w:r>
      <w:r w:rsidR="00DA1020">
        <w:t>g</w:t>
      </w:r>
      <w:r w:rsidR="00AD3454">
        <w:t>ed</w:t>
      </w:r>
      <w:r w:rsidR="004D229E">
        <w:t xml:space="preserve"> that the manner in which she borrowed the funds </w:t>
      </w:r>
      <w:r w:rsidR="003C0036">
        <w:t>violated rule</w:t>
      </w:r>
      <w:r w:rsidR="003C0036">
        <w:rPr>
          <w:rFonts w:eastAsia="Times New Roman"/>
          <w:szCs w:val="24"/>
        </w:rPr>
        <w:t> </w:t>
      </w:r>
      <w:r w:rsidR="003C0036">
        <w:t xml:space="preserve">3-300 </w:t>
      </w:r>
      <w:r w:rsidR="003C0036">
        <w:rPr>
          <w:rFonts w:eastAsia="Times New Roman"/>
          <w:szCs w:val="24"/>
        </w:rPr>
        <w:t>of th</w:t>
      </w:r>
      <w:r w:rsidR="00994DFE">
        <w:rPr>
          <w:rFonts w:eastAsia="Times New Roman"/>
          <w:szCs w:val="24"/>
        </w:rPr>
        <w:t>e Rules of Professional Conduct</w:t>
      </w:r>
      <w:r w:rsidR="00B10B57">
        <w:rPr>
          <w:rStyle w:val="FootnoteReference"/>
          <w:rFonts w:eastAsia="Times New Roman"/>
          <w:szCs w:val="24"/>
        </w:rPr>
        <w:footnoteReference w:id="1"/>
      </w:r>
      <w:r w:rsidR="00994DFE">
        <w:rPr>
          <w:rFonts w:eastAsia="Times New Roman"/>
          <w:szCs w:val="24"/>
        </w:rPr>
        <w:t xml:space="preserve"> </w:t>
      </w:r>
      <w:r w:rsidR="001C3EA1">
        <w:rPr>
          <w:rFonts w:eastAsia="Times New Roman"/>
          <w:szCs w:val="24"/>
        </w:rPr>
        <w:t>(</w:t>
      </w:r>
      <w:r w:rsidR="00430C5A">
        <w:rPr>
          <w:rFonts w:eastAsia="Times New Roman"/>
          <w:szCs w:val="24"/>
        </w:rPr>
        <w:t xml:space="preserve">count three: </w:t>
      </w:r>
      <w:r w:rsidR="001C3EA1">
        <w:rPr>
          <w:rFonts w:eastAsia="Times New Roman"/>
          <w:szCs w:val="24"/>
        </w:rPr>
        <w:t xml:space="preserve">business transaction with a client) </w:t>
      </w:r>
      <w:r w:rsidR="00AA5F28">
        <w:rPr>
          <w:rFonts w:eastAsia="Times New Roman"/>
          <w:szCs w:val="24"/>
        </w:rPr>
        <w:t>and</w:t>
      </w:r>
      <w:r w:rsidR="004D229E">
        <w:rPr>
          <w:rFonts w:eastAsia="Times New Roman"/>
          <w:szCs w:val="24"/>
        </w:rPr>
        <w:t xml:space="preserve"> that she</w:t>
      </w:r>
      <w:r w:rsidR="00896926">
        <w:rPr>
          <w:rFonts w:eastAsia="Times New Roman"/>
          <w:szCs w:val="24"/>
        </w:rPr>
        <w:t xml:space="preserve"> </w:t>
      </w:r>
      <w:r w:rsidR="00881742">
        <w:rPr>
          <w:rFonts w:eastAsia="Times New Roman"/>
          <w:szCs w:val="24"/>
        </w:rPr>
        <w:t xml:space="preserve">failed to comply with </w:t>
      </w:r>
      <w:r w:rsidR="00AA5F28">
        <w:rPr>
          <w:rFonts w:eastAsia="Times New Roman"/>
          <w:szCs w:val="24"/>
        </w:rPr>
        <w:t>Probate Code</w:t>
      </w:r>
      <w:r w:rsidR="00AD3454">
        <w:rPr>
          <w:rFonts w:eastAsia="Times New Roman"/>
          <w:szCs w:val="24"/>
        </w:rPr>
        <w:t xml:space="preserve"> section </w:t>
      </w:r>
      <w:r w:rsidR="00881742">
        <w:rPr>
          <w:rFonts w:eastAsia="Times New Roman"/>
          <w:szCs w:val="24"/>
        </w:rPr>
        <w:t>16002</w:t>
      </w:r>
      <w:r w:rsidR="001C3EA1">
        <w:rPr>
          <w:rFonts w:eastAsia="Times New Roman"/>
          <w:szCs w:val="24"/>
        </w:rPr>
        <w:t xml:space="preserve"> </w:t>
      </w:r>
      <w:r w:rsidR="001C3EA1">
        <w:rPr>
          <w:rFonts w:eastAsia="Times New Roman"/>
          <w:szCs w:val="24"/>
        </w:rPr>
        <w:lastRenderedPageBreak/>
        <w:t>(</w:t>
      </w:r>
      <w:r w:rsidR="00430C5A">
        <w:rPr>
          <w:rFonts w:eastAsia="Times New Roman"/>
          <w:szCs w:val="24"/>
        </w:rPr>
        <w:t xml:space="preserve">count two: </w:t>
      </w:r>
      <w:r w:rsidR="001C3EA1">
        <w:rPr>
          <w:rFonts w:eastAsia="Times New Roman"/>
          <w:szCs w:val="24"/>
        </w:rPr>
        <w:t>failure to comply with laws)</w:t>
      </w:r>
      <w:r w:rsidR="008D323F">
        <w:rPr>
          <w:rFonts w:eastAsia="Times New Roman"/>
          <w:szCs w:val="24"/>
        </w:rPr>
        <w:t>—</w:t>
      </w:r>
      <w:r w:rsidR="008B73B4">
        <w:rPr>
          <w:rFonts w:eastAsia="Times New Roman"/>
          <w:szCs w:val="24"/>
        </w:rPr>
        <w:t>two of the four counts of charged misconduct</w:t>
      </w:r>
      <w:r w:rsidR="0077363C">
        <w:rPr>
          <w:rFonts w:eastAsia="Times New Roman"/>
          <w:szCs w:val="24"/>
        </w:rPr>
        <w:t>.</w:t>
      </w:r>
      <w:r w:rsidR="003C0036">
        <w:rPr>
          <w:rFonts w:eastAsia="Times New Roman"/>
          <w:szCs w:val="24"/>
        </w:rPr>
        <w:t xml:space="preserve">  </w:t>
      </w:r>
      <w:r w:rsidR="00CB43C5">
        <w:rPr>
          <w:rFonts w:eastAsia="Times New Roman"/>
          <w:szCs w:val="24"/>
        </w:rPr>
        <w:t>She</w:t>
      </w:r>
      <w:r w:rsidR="00053DEE">
        <w:rPr>
          <w:rFonts w:eastAsia="Times New Roman"/>
          <w:szCs w:val="24"/>
        </w:rPr>
        <w:t xml:space="preserve"> </w:t>
      </w:r>
      <w:r w:rsidR="009C60F4">
        <w:rPr>
          <w:rFonts w:eastAsia="Times New Roman"/>
          <w:szCs w:val="24"/>
        </w:rPr>
        <w:t xml:space="preserve">also </w:t>
      </w:r>
      <w:r w:rsidR="00053DEE">
        <w:rPr>
          <w:rFonts w:eastAsia="Times New Roman"/>
          <w:szCs w:val="24"/>
        </w:rPr>
        <w:t xml:space="preserve">challenges the aggravation and mitigation findings.  </w:t>
      </w:r>
      <w:proofErr w:type="spellStart"/>
      <w:r w:rsidR="00CB43C5">
        <w:rPr>
          <w:rFonts w:eastAsia="Times New Roman"/>
          <w:szCs w:val="24"/>
        </w:rPr>
        <w:t>Lingwood</w:t>
      </w:r>
      <w:proofErr w:type="spellEnd"/>
      <w:r w:rsidR="00053DEE">
        <w:rPr>
          <w:rFonts w:eastAsia="Times New Roman"/>
          <w:szCs w:val="24"/>
        </w:rPr>
        <w:t xml:space="preserve"> argues that disbarment is not appropriate discipline here.  OCTC does not appeal and supports the disbarment recommendation.</w:t>
      </w:r>
    </w:p>
    <w:p w:rsidR="00637E4C" w:rsidRDefault="00053DEE" w:rsidP="00411450">
      <w:pPr>
        <w:spacing w:line="480" w:lineRule="auto"/>
        <w:ind w:firstLine="720"/>
      </w:pPr>
      <w:r>
        <w:t>Upon our independent review of the re</w:t>
      </w:r>
      <w:r w:rsidR="009D2756">
        <w:t>cord (Cal. Rules of Court, rule </w:t>
      </w:r>
      <w:r>
        <w:t>9.12), we</w:t>
      </w:r>
      <w:r w:rsidR="003525E2">
        <w:t xml:space="preserve"> fi</w:t>
      </w:r>
      <w:r w:rsidR="00881742">
        <w:t xml:space="preserve">nd that </w:t>
      </w:r>
      <w:proofErr w:type="spellStart"/>
      <w:r w:rsidR="00881742">
        <w:t>Lingwood</w:t>
      </w:r>
      <w:proofErr w:type="spellEnd"/>
      <w:r w:rsidR="00881742">
        <w:t xml:space="preserve"> </w:t>
      </w:r>
      <w:r w:rsidR="004D229E">
        <w:t>had the authority to borrow the funds under the terms of the trust agreement, but she i</w:t>
      </w:r>
      <w:r w:rsidR="00881742">
        <w:t xml:space="preserve">s culpable </w:t>
      </w:r>
      <w:r w:rsidR="008D323F">
        <w:t xml:space="preserve">of </w:t>
      </w:r>
      <w:r w:rsidR="001C3EA1">
        <w:t xml:space="preserve">two charged counts of misconduct: </w:t>
      </w:r>
      <w:r w:rsidR="004D229E">
        <w:t>violating</w:t>
      </w:r>
      <w:r w:rsidR="00DA1020">
        <w:t xml:space="preserve"> rule </w:t>
      </w:r>
      <w:r w:rsidR="00D24FEC">
        <w:t>3-300</w:t>
      </w:r>
      <w:r w:rsidR="00430C5A">
        <w:t xml:space="preserve"> (count three)</w:t>
      </w:r>
      <w:r w:rsidR="005841A7">
        <w:t xml:space="preserve"> </w:t>
      </w:r>
      <w:r w:rsidR="00130A63">
        <w:t>in the ma</w:t>
      </w:r>
      <w:r w:rsidR="0060799F">
        <w:t>nn</w:t>
      </w:r>
      <w:r w:rsidR="00130A63">
        <w:t xml:space="preserve">er in which she borrowed the funds </w:t>
      </w:r>
      <w:r w:rsidR="005841A7">
        <w:t>and violating</w:t>
      </w:r>
      <w:r w:rsidR="000C3BC3">
        <w:t xml:space="preserve"> her fiduciary duties under the Probate Code</w:t>
      </w:r>
      <w:r w:rsidR="00430C5A">
        <w:t xml:space="preserve"> (count two)</w:t>
      </w:r>
      <w:r w:rsidR="008B73B4">
        <w:t>.</w:t>
      </w:r>
      <w:r w:rsidR="00D24FEC">
        <w:rPr>
          <w:rStyle w:val="FootnoteReference"/>
        </w:rPr>
        <w:footnoteReference w:id="2"/>
      </w:r>
      <w:r w:rsidR="008B73B4">
        <w:t xml:space="preserve">  </w:t>
      </w:r>
      <w:r w:rsidR="003525E2">
        <w:t xml:space="preserve">We do not find that she </w:t>
      </w:r>
      <w:r w:rsidR="005841A7">
        <w:t>misappropriated funds from the t</w:t>
      </w:r>
      <w:r w:rsidR="003525E2">
        <w:t>rust</w:t>
      </w:r>
      <w:r w:rsidR="00DA1020">
        <w:t>,</w:t>
      </w:r>
      <w:r w:rsidR="003525E2">
        <w:t xml:space="preserve"> in violation of</w:t>
      </w:r>
      <w:r w:rsidR="005841A7">
        <w:t xml:space="preserve"> Busine</w:t>
      </w:r>
      <w:r w:rsidR="009D2756">
        <w:t>ss and Professions Code section </w:t>
      </w:r>
      <w:r w:rsidR="005841A7">
        <w:t>6106</w:t>
      </w:r>
      <w:r w:rsidR="00DA1020">
        <w:t>,</w:t>
      </w:r>
      <w:r w:rsidR="005841A7">
        <w:rPr>
          <w:rStyle w:val="FootnoteReference"/>
        </w:rPr>
        <w:footnoteReference w:id="3"/>
      </w:r>
      <w:r w:rsidR="005841A7">
        <w:t xml:space="preserve"> </w:t>
      </w:r>
      <w:r w:rsidR="007D7442">
        <w:t>nor</w:t>
      </w:r>
      <w:r w:rsidR="005841A7">
        <w:t xml:space="preserve"> </w:t>
      </w:r>
      <w:r w:rsidR="007D7442">
        <w:t xml:space="preserve">do </w:t>
      </w:r>
      <w:r w:rsidR="005841A7">
        <w:t xml:space="preserve">we find that </w:t>
      </w:r>
      <w:r w:rsidR="00C11A17">
        <w:t>she</w:t>
      </w:r>
      <w:r w:rsidR="005841A7">
        <w:t xml:space="preserve"> is culpable o</w:t>
      </w:r>
      <w:r w:rsidR="00442F3C">
        <w:t>f making any misrepresentations.</w:t>
      </w:r>
      <w:r w:rsidR="009B10AA">
        <w:t xml:space="preserve">  We recommend an actual suspension of </w:t>
      </w:r>
      <w:r w:rsidR="00130A63">
        <w:t>60 days</w:t>
      </w:r>
      <w:r w:rsidR="009B10AA">
        <w:t xml:space="preserve"> to protect the public, the courts, and the legal profession.</w:t>
      </w:r>
    </w:p>
    <w:p w:rsidR="00577474" w:rsidRPr="00577474" w:rsidRDefault="00577474" w:rsidP="00577474">
      <w:pPr>
        <w:spacing w:line="480" w:lineRule="auto"/>
        <w:jc w:val="center"/>
        <w:rPr>
          <w:b/>
        </w:rPr>
      </w:pPr>
      <w:r w:rsidRPr="00577474">
        <w:rPr>
          <w:b/>
        </w:rPr>
        <w:t>I.  PROCEDURAL BACKGROUND</w:t>
      </w:r>
    </w:p>
    <w:p w:rsidR="006E515A" w:rsidRDefault="00577474" w:rsidP="00A559A6">
      <w:pPr>
        <w:spacing w:line="480" w:lineRule="auto"/>
        <w:ind w:firstLine="720"/>
      </w:pPr>
      <w:r w:rsidRPr="00577474">
        <w:t xml:space="preserve">On </w:t>
      </w:r>
      <w:r w:rsidR="009D2756">
        <w:t>December </w:t>
      </w:r>
      <w:r w:rsidR="00BD76DE">
        <w:t>28, 2017</w:t>
      </w:r>
      <w:r w:rsidRPr="00577474">
        <w:t xml:space="preserve">, OCTC filed a Notice of Disciplinary Charges (NDC), charging </w:t>
      </w:r>
      <w:proofErr w:type="spellStart"/>
      <w:r w:rsidR="00DF4CE1">
        <w:t>Lingwood</w:t>
      </w:r>
      <w:proofErr w:type="spellEnd"/>
      <w:r w:rsidR="00BD76DE">
        <w:t xml:space="preserve"> with five</w:t>
      </w:r>
      <w:r w:rsidR="00EF5146">
        <w:t xml:space="preserve"> counts of misconduct</w:t>
      </w:r>
      <w:r w:rsidR="00B10B57">
        <w:t>.</w:t>
      </w:r>
      <w:r w:rsidRPr="00577474">
        <w:t xml:space="preserve">  </w:t>
      </w:r>
      <w:r w:rsidR="00B10B57">
        <w:t>Count five was dismissed on OCTC’s moti</w:t>
      </w:r>
      <w:r w:rsidR="00896926">
        <w:t xml:space="preserve">on at the beginning of trial.  </w:t>
      </w:r>
      <w:r w:rsidR="00B10B57">
        <w:t>The remaining counts included:</w:t>
      </w:r>
      <w:r w:rsidR="009D2756">
        <w:t xml:space="preserve"> (1) </w:t>
      </w:r>
      <w:r w:rsidR="00666CA5">
        <w:t>misappropriation of $60,000</w:t>
      </w:r>
      <w:r w:rsidR="00FA1A5C">
        <w:t>,</w:t>
      </w:r>
      <w:r w:rsidR="00657443">
        <w:t xml:space="preserve"> in violation of section </w:t>
      </w:r>
      <w:r w:rsidR="00666CA5">
        <w:t>6106;</w:t>
      </w:r>
      <w:r w:rsidR="00657443">
        <w:t xml:space="preserve"> (2) </w:t>
      </w:r>
      <w:r w:rsidR="00FA1A5C">
        <w:t>improper withdrawal of money from a</w:t>
      </w:r>
      <w:r w:rsidR="009D2756">
        <w:t xml:space="preserve"> trust, in violation of section </w:t>
      </w:r>
      <w:r w:rsidR="00657443">
        <w:t>6068, subdivision (a); (3) </w:t>
      </w:r>
      <w:r w:rsidR="00FA1A5C">
        <w:t>improper business transaction with</w:t>
      </w:r>
      <w:r w:rsidR="00657443">
        <w:t xml:space="preserve"> a client, in violation of rule </w:t>
      </w:r>
      <w:r w:rsidR="00FA1A5C">
        <w:t>3-300; and (4)</w:t>
      </w:r>
      <w:r w:rsidR="00657443">
        <w:t> </w:t>
      </w:r>
      <w:r w:rsidR="00FA1A5C">
        <w:t>misrepresen</w:t>
      </w:r>
      <w:r w:rsidR="00657443">
        <w:t>tation, in violation of section </w:t>
      </w:r>
      <w:r w:rsidR="00FA1A5C">
        <w:t>6106.</w:t>
      </w:r>
      <w:r w:rsidR="006E515A">
        <w:t xml:space="preserve"> </w:t>
      </w:r>
    </w:p>
    <w:p w:rsidR="00577474" w:rsidRDefault="00657443" w:rsidP="00A559A6">
      <w:pPr>
        <w:spacing w:line="480" w:lineRule="auto"/>
        <w:ind w:firstLine="720"/>
      </w:pPr>
      <w:r>
        <w:t>On April </w:t>
      </w:r>
      <w:r w:rsidR="00A472E5">
        <w:t xml:space="preserve">11, 2018, </w:t>
      </w:r>
      <w:proofErr w:type="spellStart"/>
      <w:r w:rsidR="00A472E5">
        <w:t>Lingwood</w:t>
      </w:r>
      <w:proofErr w:type="spellEnd"/>
      <w:r w:rsidR="00A472E5">
        <w:t xml:space="preserve"> filed her pretrial statement </w:t>
      </w:r>
      <w:r w:rsidR="007D7442">
        <w:t>in which</w:t>
      </w:r>
      <w:r w:rsidR="00A472E5">
        <w:t xml:space="preserve"> she </w:t>
      </w:r>
      <w:r w:rsidR="00A559A6">
        <w:t>stated that she did not provide a written communication as required by rule</w:t>
      </w:r>
      <w:r w:rsidR="00DA1020">
        <w:t> </w:t>
      </w:r>
      <w:r w:rsidR="00A559A6">
        <w:t xml:space="preserve">3-300 (count three) and </w:t>
      </w:r>
      <w:r w:rsidR="00DA1020">
        <w:t xml:space="preserve">that </w:t>
      </w:r>
      <w:r w:rsidR="00A559A6">
        <w:t>she failed to comply with Probate Code section</w:t>
      </w:r>
      <w:r w:rsidR="00DA1020">
        <w:t> </w:t>
      </w:r>
      <w:r w:rsidR="00A559A6">
        <w:t xml:space="preserve">16002 (count two).  </w:t>
      </w:r>
      <w:r w:rsidR="00C123E3">
        <w:t>While t</w:t>
      </w:r>
      <w:r w:rsidR="002015AD">
        <w:t xml:space="preserve">he parties entered into a </w:t>
      </w:r>
      <w:r w:rsidR="002015AD">
        <w:lastRenderedPageBreak/>
        <w:t>Stipulation as to Facts and Admission of Documents (Stipulation) on June</w:t>
      </w:r>
      <w:r w:rsidR="002015AD">
        <w:rPr>
          <w:rFonts w:eastAsia="Times New Roman"/>
          <w:szCs w:val="24"/>
        </w:rPr>
        <w:t> </w:t>
      </w:r>
      <w:r w:rsidR="002015AD">
        <w:t>12</w:t>
      </w:r>
      <w:r w:rsidR="00C123E3">
        <w:t>, the Stipulation did not include</w:t>
      </w:r>
      <w:r w:rsidR="004E518B">
        <w:t xml:space="preserve"> the</w:t>
      </w:r>
      <w:r w:rsidR="00C123E3">
        <w:t xml:space="preserve"> specific admissions of culpability </w:t>
      </w:r>
      <w:proofErr w:type="spellStart"/>
      <w:r w:rsidR="00C123E3">
        <w:t>Lingwood</w:t>
      </w:r>
      <w:proofErr w:type="spellEnd"/>
      <w:r w:rsidR="00C123E3">
        <w:t xml:space="preserve"> had included in her pretrial statement</w:t>
      </w:r>
      <w:r w:rsidR="002015AD">
        <w:t>.</w:t>
      </w:r>
      <w:r w:rsidR="000E5F69">
        <w:t xml:space="preserve">  </w:t>
      </w:r>
      <w:r w:rsidR="00577474" w:rsidRPr="00577474">
        <w:t>Trial was hel</w:t>
      </w:r>
      <w:r w:rsidR="00577474">
        <w:t xml:space="preserve">d on </w:t>
      </w:r>
      <w:r w:rsidR="00DB1B11">
        <w:t>June </w:t>
      </w:r>
      <w:r w:rsidR="00FA1A5C">
        <w:t>12, 13, 14, and 15</w:t>
      </w:r>
      <w:r w:rsidR="001A2DCF">
        <w:t xml:space="preserve">, </w:t>
      </w:r>
      <w:r w:rsidR="00577474">
        <w:t xml:space="preserve">and </w:t>
      </w:r>
      <w:proofErr w:type="spellStart"/>
      <w:r w:rsidR="00577474">
        <w:t>post</w:t>
      </w:r>
      <w:r w:rsidR="00577474" w:rsidRPr="00577474">
        <w:t>trial</w:t>
      </w:r>
      <w:proofErr w:type="spellEnd"/>
      <w:r w:rsidR="00577474" w:rsidRPr="00577474">
        <w:t xml:space="preserve"> briefing followed.  On </w:t>
      </w:r>
      <w:r w:rsidR="002015AD">
        <w:t>August</w:t>
      </w:r>
      <w:r w:rsidR="002015AD">
        <w:rPr>
          <w:rFonts w:eastAsia="Times New Roman"/>
          <w:szCs w:val="24"/>
        </w:rPr>
        <w:t> </w:t>
      </w:r>
      <w:r w:rsidR="002015AD">
        <w:t>17</w:t>
      </w:r>
      <w:r w:rsidR="00577474" w:rsidRPr="00577474">
        <w:t>, 2018, the hearing judge issued her decision.</w:t>
      </w:r>
    </w:p>
    <w:p w:rsidR="0090257E" w:rsidRPr="0090257E" w:rsidRDefault="0090257E" w:rsidP="0090257E">
      <w:pPr>
        <w:spacing w:line="480" w:lineRule="auto"/>
        <w:jc w:val="center"/>
        <w:rPr>
          <w:b/>
        </w:rPr>
      </w:pPr>
      <w:r w:rsidRPr="0090257E">
        <w:rPr>
          <w:b/>
        </w:rPr>
        <w:t>II.  FACTUAL BACKGROUND</w:t>
      </w:r>
      <w:r>
        <w:rPr>
          <w:rStyle w:val="FootnoteReference"/>
          <w:b/>
        </w:rPr>
        <w:footnoteReference w:id="4"/>
      </w:r>
    </w:p>
    <w:p w:rsidR="005352D8" w:rsidRDefault="006D635E" w:rsidP="0090257E">
      <w:pPr>
        <w:spacing w:line="480" w:lineRule="auto"/>
        <w:ind w:firstLine="720"/>
        <w:rPr>
          <w:rFonts w:eastAsia="Times New Roman"/>
          <w:szCs w:val="24"/>
        </w:rPr>
      </w:pPr>
      <w:proofErr w:type="spellStart"/>
      <w:r>
        <w:rPr>
          <w:rFonts w:eastAsia="Times New Roman"/>
          <w:szCs w:val="24"/>
        </w:rPr>
        <w:t>Lingwood</w:t>
      </w:r>
      <w:proofErr w:type="spellEnd"/>
      <w:r>
        <w:rPr>
          <w:rFonts w:eastAsia="Times New Roman"/>
          <w:szCs w:val="24"/>
        </w:rPr>
        <w:t xml:space="preserve"> prepared a trust agreement</w:t>
      </w:r>
      <w:r w:rsidR="00BB7BFA">
        <w:rPr>
          <w:rFonts w:eastAsia="Times New Roman"/>
          <w:szCs w:val="24"/>
        </w:rPr>
        <w:t xml:space="preserve"> </w:t>
      </w:r>
      <w:r>
        <w:rPr>
          <w:rFonts w:eastAsia="Times New Roman"/>
          <w:szCs w:val="24"/>
        </w:rPr>
        <w:t>for her neighbors, Joan and Bob</w:t>
      </w:r>
      <w:r w:rsidR="000D630B">
        <w:rPr>
          <w:rFonts w:eastAsia="Times New Roman"/>
          <w:szCs w:val="24"/>
        </w:rPr>
        <w:t xml:space="preserve"> Doyle</w:t>
      </w:r>
      <w:r>
        <w:rPr>
          <w:rFonts w:eastAsia="Times New Roman"/>
          <w:szCs w:val="24"/>
        </w:rPr>
        <w:t xml:space="preserve">, </w:t>
      </w:r>
      <w:r w:rsidR="00D92739">
        <w:rPr>
          <w:rFonts w:eastAsia="Times New Roman"/>
          <w:szCs w:val="24"/>
        </w:rPr>
        <w:t>which they executed on February </w:t>
      </w:r>
      <w:r>
        <w:rPr>
          <w:rFonts w:eastAsia="Times New Roman"/>
          <w:szCs w:val="24"/>
        </w:rPr>
        <w:t>26, 2012</w:t>
      </w:r>
      <w:r w:rsidR="00C23396">
        <w:rPr>
          <w:rFonts w:eastAsia="Times New Roman"/>
          <w:szCs w:val="24"/>
        </w:rPr>
        <w:t xml:space="preserve"> (the Trust)</w:t>
      </w:r>
      <w:r w:rsidR="00D33759">
        <w:rPr>
          <w:rFonts w:eastAsia="Times New Roman"/>
          <w:szCs w:val="24"/>
        </w:rPr>
        <w:t>.</w:t>
      </w:r>
      <w:r w:rsidR="00372168">
        <w:rPr>
          <w:rFonts w:eastAsia="Times New Roman"/>
          <w:szCs w:val="24"/>
        </w:rPr>
        <w:t xml:space="preserve">  Joan and Bob</w:t>
      </w:r>
      <w:r w:rsidR="000D630B">
        <w:rPr>
          <w:rStyle w:val="FootnoteReference"/>
          <w:rFonts w:eastAsia="Times New Roman"/>
          <w:szCs w:val="24"/>
        </w:rPr>
        <w:footnoteReference w:id="5"/>
      </w:r>
      <w:r w:rsidR="00372168">
        <w:rPr>
          <w:rFonts w:eastAsia="Times New Roman"/>
          <w:szCs w:val="24"/>
        </w:rPr>
        <w:t xml:space="preserve"> were designated co-trustees and </w:t>
      </w:r>
      <w:proofErr w:type="spellStart"/>
      <w:r w:rsidR="00372168">
        <w:rPr>
          <w:rFonts w:eastAsia="Times New Roman"/>
          <w:szCs w:val="24"/>
        </w:rPr>
        <w:t>Lingwood</w:t>
      </w:r>
      <w:proofErr w:type="spellEnd"/>
      <w:r w:rsidR="00372168">
        <w:rPr>
          <w:rFonts w:eastAsia="Times New Roman"/>
          <w:szCs w:val="24"/>
        </w:rPr>
        <w:t xml:space="preserve"> was des</w:t>
      </w:r>
      <w:r w:rsidR="00D33759">
        <w:rPr>
          <w:rFonts w:eastAsia="Times New Roman"/>
          <w:szCs w:val="24"/>
        </w:rPr>
        <w:t>ignated the successor trustee.</w:t>
      </w:r>
      <w:r w:rsidR="003C0D2E">
        <w:rPr>
          <w:rFonts w:eastAsia="Times New Roman"/>
          <w:szCs w:val="24"/>
        </w:rPr>
        <w:t xml:space="preserve">  </w:t>
      </w:r>
      <w:r w:rsidR="00372168">
        <w:rPr>
          <w:rFonts w:eastAsia="Times New Roman"/>
          <w:szCs w:val="24"/>
        </w:rPr>
        <w:t xml:space="preserve">Subsequently, </w:t>
      </w:r>
      <w:proofErr w:type="spellStart"/>
      <w:r w:rsidR="00372168">
        <w:rPr>
          <w:rFonts w:eastAsia="Times New Roman"/>
          <w:szCs w:val="24"/>
        </w:rPr>
        <w:t>Lingwood</w:t>
      </w:r>
      <w:proofErr w:type="spellEnd"/>
      <w:r w:rsidR="00372168">
        <w:rPr>
          <w:rFonts w:eastAsia="Times New Roman"/>
          <w:szCs w:val="24"/>
        </w:rPr>
        <w:t xml:space="preserve"> prepared an amendment to the Trust, which </w:t>
      </w:r>
      <w:r w:rsidR="00D33759">
        <w:rPr>
          <w:rFonts w:eastAsia="Times New Roman"/>
          <w:szCs w:val="24"/>
        </w:rPr>
        <w:t>was executed o</w:t>
      </w:r>
      <w:r w:rsidR="00D92739">
        <w:rPr>
          <w:rFonts w:eastAsia="Times New Roman"/>
          <w:szCs w:val="24"/>
        </w:rPr>
        <w:t>n June </w:t>
      </w:r>
      <w:r w:rsidR="00D33759">
        <w:rPr>
          <w:rFonts w:eastAsia="Times New Roman"/>
          <w:szCs w:val="24"/>
        </w:rPr>
        <w:t>27, 2015.</w:t>
      </w:r>
      <w:r w:rsidR="003C0D2E">
        <w:rPr>
          <w:rFonts w:eastAsia="Times New Roman"/>
          <w:szCs w:val="24"/>
        </w:rPr>
        <w:t xml:space="preserve">  At this time, Joan h</w:t>
      </w:r>
      <w:r w:rsidR="00C94543">
        <w:rPr>
          <w:rFonts w:eastAsia="Times New Roman"/>
          <w:szCs w:val="24"/>
        </w:rPr>
        <w:t>ad been diagnosed with cancer and Bob began displaying signs of dementia; later, he would be diagnosed with Alzheimer’s disease.</w:t>
      </w:r>
      <w:r w:rsidR="00D92739">
        <w:rPr>
          <w:rFonts w:eastAsia="Times New Roman"/>
          <w:szCs w:val="24"/>
        </w:rPr>
        <w:t xml:space="preserve">  Also on June </w:t>
      </w:r>
      <w:r w:rsidR="003C0D2E">
        <w:rPr>
          <w:rFonts w:eastAsia="Times New Roman"/>
          <w:szCs w:val="24"/>
        </w:rPr>
        <w:t>27, Bob executed the Durable Power of Attorney</w:t>
      </w:r>
      <w:r w:rsidR="00D33759">
        <w:rPr>
          <w:rFonts w:eastAsia="Times New Roman"/>
          <w:szCs w:val="24"/>
        </w:rPr>
        <w:t xml:space="preserve"> (DPOA) that </w:t>
      </w:r>
      <w:proofErr w:type="spellStart"/>
      <w:r w:rsidR="00D33759">
        <w:rPr>
          <w:rFonts w:eastAsia="Times New Roman"/>
          <w:szCs w:val="24"/>
        </w:rPr>
        <w:t>Lingwood</w:t>
      </w:r>
      <w:proofErr w:type="spellEnd"/>
      <w:r w:rsidR="00D33759">
        <w:rPr>
          <w:rFonts w:eastAsia="Times New Roman"/>
          <w:szCs w:val="24"/>
        </w:rPr>
        <w:t xml:space="preserve"> drafted.</w:t>
      </w:r>
      <w:r w:rsidR="008C5BC7">
        <w:rPr>
          <w:rFonts w:eastAsia="Times New Roman"/>
          <w:szCs w:val="24"/>
        </w:rPr>
        <w:t xml:space="preserve">  </w:t>
      </w:r>
      <w:r w:rsidR="003C0D2E">
        <w:rPr>
          <w:rFonts w:eastAsia="Times New Roman"/>
          <w:szCs w:val="24"/>
        </w:rPr>
        <w:t xml:space="preserve">The DPOA appointed </w:t>
      </w:r>
      <w:proofErr w:type="spellStart"/>
      <w:r w:rsidR="003C0D2E">
        <w:rPr>
          <w:rFonts w:eastAsia="Times New Roman"/>
          <w:szCs w:val="24"/>
        </w:rPr>
        <w:t>Lingwood</w:t>
      </w:r>
      <w:proofErr w:type="spellEnd"/>
      <w:r w:rsidR="003C0D2E">
        <w:rPr>
          <w:rFonts w:eastAsia="Times New Roman"/>
          <w:szCs w:val="24"/>
        </w:rPr>
        <w:t xml:space="preserve"> and Joan’s daughter, Belinda</w:t>
      </w:r>
      <w:r w:rsidR="00912892">
        <w:rPr>
          <w:rFonts w:eastAsia="Times New Roman"/>
          <w:szCs w:val="24"/>
        </w:rPr>
        <w:t xml:space="preserve"> </w:t>
      </w:r>
      <w:proofErr w:type="spellStart"/>
      <w:r w:rsidR="00912892">
        <w:rPr>
          <w:rFonts w:eastAsia="Times New Roman"/>
          <w:szCs w:val="24"/>
        </w:rPr>
        <w:t>Drau</w:t>
      </w:r>
      <w:r w:rsidR="00C43D48">
        <w:rPr>
          <w:rFonts w:eastAsia="Times New Roman"/>
          <w:szCs w:val="24"/>
        </w:rPr>
        <w:t>gelis</w:t>
      </w:r>
      <w:proofErr w:type="spellEnd"/>
      <w:r w:rsidR="003C0D2E">
        <w:rPr>
          <w:rFonts w:eastAsia="Times New Roman"/>
          <w:szCs w:val="24"/>
        </w:rPr>
        <w:t xml:space="preserve">, as Bob’s </w:t>
      </w:r>
      <w:r w:rsidR="00242C74">
        <w:rPr>
          <w:rFonts w:eastAsia="Times New Roman"/>
          <w:szCs w:val="24"/>
        </w:rPr>
        <w:t>attorneys</w:t>
      </w:r>
      <w:r w:rsidR="00BC22CC">
        <w:rPr>
          <w:rFonts w:eastAsia="Times New Roman"/>
          <w:szCs w:val="24"/>
        </w:rPr>
        <w:t>-</w:t>
      </w:r>
      <w:r w:rsidR="00242C74">
        <w:rPr>
          <w:rFonts w:eastAsia="Times New Roman"/>
          <w:szCs w:val="24"/>
        </w:rPr>
        <w:t>in</w:t>
      </w:r>
      <w:r w:rsidR="00BC22CC">
        <w:rPr>
          <w:rFonts w:eastAsia="Times New Roman"/>
          <w:szCs w:val="24"/>
        </w:rPr>
        <w:t>-</w:t>
      </w:r>
      <w:r w:rsidR="00242C74">
        <w:rPr>
          <w:rFonts w:eastAsia="Times New Roman"/>
          <w:szCs w:val="24"/>
        </w:rPr>
        <w:t>fact</w:t>
      </w:r>
      <w:r w:rsidR="003C0D2E">
        <w:rPr>
          <w:rFonts w:eastAsia="Times New Roman"/>
          <w:szCs w:val="24"/>
        </w:rPr>
        <w:t>.</w:t>
      </w:r>
      <w:r w:rsidR="00242C74">
        <w:rPr>
          <w:rStyle w:val="FootnoteReference"/>
          <w:rFonts w:eastAsia="Times New Roman"/>
          <w:szCs w:val="24"/>
        </w:rPr>
        <w:footnoteReference w:id="6"/>
      </w:r>
      <w:r w:rsidR="00A76340">
        <w:rPr>
          <w:rFonts w:eastAsia="Times New Roman"/>
          <w:szCs w:val="24"/>
        </w:rPr>
        <w:t xml:space="preserve">  </w:t>
      </w:r>
      <w:r w:rsidR="00D92739">
        <w:rPr>
          <w:rFonts w:eastAsia="Times New Roman"/>
          <w:szCs w:val="24"/>
        </w:rPr>
        <w:t>On July </w:t>
      </w:r>
      <w:r w:rsidR="005352D8">
        <w:rPr>
          <w:rFonts w:eastAsia="Times New Roman"/>
          <w:szCs w:val="24"/>
        </w:rPr>
        <w:t xml:space="preserve">8, </w:t>
      </w:r>
      <w:proofErr w:type="spellStart"/>
      <w:r w:rsidR="005352D8">
        <w:rPr>
          <w:rFonts w:eastAsia="Times New Roman"/>
          <w:szCs w:val="24"/>
        </w:rPr>
        <w:t>Lingwood</w:t>
      </w:r>
      <w:proofErr w:type="spellEnd"/>
      <w:r w:rsidR="005352D8">
        <w:rPr>
          <w:rFonts w:eastAsia="Times New Roman"/>
          <w:szCs w:val="24"/>
        </w:rPr>
        <w:t xml:space="preserve"> and Joan, as co-trustees, opened a checking account for the Trust (Trust </w:t>
      </w:r>
      <w:r w:rsidR="009B10AA">
        <w:rPr>
          <w:rFonts w:eastAsia="Times New Roman"/>
          <w:szCs w:val="24"/>
        </w:rPr>
        <w:t xml:space="preserve">bank </w:t>
      </w:r>
      <w:r w:rsidR="00D33759">
        <w:rPr>
          <w:rFonts w:eastAsia="Times New Roman"/>
          <w:szCs w:val="24"/>
        </w:rPr>
        <w:t>account).</w:t>
      </w:r>
    </w:p>
    <w:p w:rsidR="00D4613E" w:rsidRDefault="00A76340" w:rsidP="00A76340">
      <w:pPr>
        <w:spacing w:line="480" w:lineRule="auto"/>
        <w:ind w:firstLine="720"/>
        <w:rPr>
          <w:rFonts w:eastAsia="Times New Roman"/>
          <w:szCs w:val="24"/>
        </w:rPr>
      </w:pPr>
      <w:r>
        <w:rPr>
          <w:rFonts w:eastAsia="Times New Roman"/>
          <w:szCs w:val="24"/>
        </w:rPr>
        <w:t>Belinda, who lived in Virginia at the time, traveled to California to be with her mother</w:t>
      </w:r>
      <w:r w:rsidR="00C94543">
        <w:rPr>
          <w:rFonts w:eastAsia="Times New Roman"/>
          <w:szCs w:val="24"/>
        </w:rPr>
        <w:t xml:space="preserve"> in </w:t>
      </w:r>
      <w:r w:rsidR="007D78CD">
        <w:rPr>
          <w:rFonts w:eastAsia="Times New Roman"/>
          <w:szCs w:val="24"/>
        </w:rPr>
        <w:t>late</w:t>
      </w:r>
      <w:r w:rsidR="00C94543">
        <w:rPr>
          <w:rFonts w:eastAsia="Times New Roman"/>
          <w:szCs w:val="24"/>
        </w:rPr>
        <w:t xml:space="preserve"> 2015</w:t>
      </w:r>
      <w:r>
        <w:rPr>
          <w:rFonts w:eastAsia="Times New Roman"/>
          <w:szCs w:val="24"/>
        </w:rPr>
        <w:t xml:space="preserve">.  </w:t>
      </w:r>
      <w:proofErr w:type="spellStart"/>
      <w:r>
        <w:rPr>
          <w:rFonts w:eastAsia="Times New Roman"/>
          <w:szCs w:val="24"/>
        </w:rPr>
        <w:t>Lingwood</w:t>
      </w:r>
      <w:proofErr w:type="spellEnd"/>
      <w:r>
        <w:rPr>
          <w:rFonts w:eastAsia="Times New Roman"/>
          <w:szCs w:val="24"/>
        </w:rPr>
        <w:t xml:space="preserve"> met Belinda during </w:t>
      </w:r>
      <w:r w:rsidR="00BC22CC">
        <w:rPr>
          <w:rFonts w:eastAsia="Times New Roman"/>
          <w:szCs w:val="24"/>
        </w:rPr>
        <w:t>her</w:t>
      </w:r>
      <w:r>
        <w:rPr>
          <w:rFonts w:eastAsia="Times New Roman"/>
          <w:szCs w:val="24"/>
        </w:rPr>
        <w:t xml:space="preserve"> stay in California.  </w:t>
      </w:r>
      <w:r w:rsidR="00C94543">
        <w:rPr>
          <w:rFonts w:eastAsia="Times New Roman"/>
          <w:szCs w:val="24"/>
        </w:rPr>
        <w:t>Bob was placed in a memory care facility in December 2015</w:t>
      </w:r>
      <w:r w:rsidR="00BB5A33">
        <w:rPr>
          <w:rFonts w:eastAsia="Times New Roman"/>
          <w:szCs w:val="24"/>
        </w:rPr>
        <w:t xml:space="preserve"> after </w:t>
      </w:r>
      <w:proofErr w:type="spellStart"/>
      <w:r w:rsidR="00BB5A33">
        <w:rPr>
          <w:rFonts w:eastAsia="Times New Roman"/>
          <w:szCs w:val="24"/>
        </w:rPr>
        <w:t>Lingwood</w:t>
      </w:r>
      <w:proofErr w:type="spellEnd"/>
      <w:r w:rsidR="00BB5A33">
        <w:rPr>
          <w:rFonts w:eastAsia="Times New Roman"/>
          <w:szCs w:val="24"/>
        </w:rPr>
        <w:t xml:space="preserve"> and Belinda first visited the facility.  </w:t>
      </w:r>
      <w:r w:rsidR="00376BFD">
        <w:rPr>
          <w:rFonts w:eastAsia="Times New Roman"/>
          <w:szCs w:val="24"/>
        </w:rPr>
        <w:t xml:space="preserve">After </w:t>
      </w:r>
      <w:r w:rsidR="00BC33CC">
        <w:rPr>
          <w:rFonts w:eastAsia="Times New Roman"/>
          <w:szCs w:val="24"/>
        </w:rPr>
        <w:t>J</w:t>
      </w:r>
      <w:r w:rsidR="00D92739">
        <w:rPr>
          <w:rFonts w:eastAsia="Times New Roman"/>
          <w:szCs w:val="24"/>
        </w:rPr>
        <w:t>oan</w:t>
      </w:r>
      <w:r w:rsidR="00376BFD">
        <w:rPr>
          <w:rFonts w:eastAsia="Times New Roman"/>
          <w:szCs w:val="24"/>
        </w:rPr>
        <w:t>’s</w:t>
      </w:r>
      <w:r w:rsidR="00D92739">
        <w:rPr>
          <w:rFonts w:eastAsia="Times New Roman"/>
          <w:szCs w:val="24"/>
        </w:rPr>
        <w:t xml:space="preserve"> d</w:t>
      </w:r>
      <w:r w:rsidR="00376BFD">
        <w:rPr>
          <w:rFonts w:eastAsia="Times New Roman"/>
          <w:szCs w:val="24"/>
        </w:rPr>
        <w:t>eath</w:t>
      </w:r>
      <w:r w:rsidR="00D92739">
        <w:rPr>
          <w:rFonts w:eastAsia="Times New Roman"/>
          <w:szCs w:val="24"/>
        </w:rPr>
        <w:t xml:space="preserve"> on February </w:t>
      </w:r>
      <w:r w:rsidR="00D33759">
        <w:rPr>
          <w:rFonts w:eastAsia="Times New Roman"/>
          <w:szCs w:val="24"/>
        </w:rPr>
        <w:t>4, 2016</w:t>
      </w:r>
      <w:r w:rsidR="00376BFD">
        <w:rPr>
          <w:rFonts w:eastAsia="Times New Roman"/>
          <w:szCs w:val="24"/>
        </w:rPr>
        <w:t>,</w:t>
      </w:r>
      <w:r w:rsidR="00D4613E">
        <w:rPr>
          <w:rFonts w:eastAsia="Times New Roman"/>
          <w:szCs w:val="24"/>
        </w:rPr>
        <w:t xml:space="preserve"> </w:t>
      </w:r>
      <w:proofErr w:type="spellStart"/>
      <w:r w:rsidR="00D4613E">
        <w:rPr>
          <w:rFonts w:eastAsia="Times New Roman"/>
          <w:szCs w:val="24"/>
        </w:rPr>
        <w:t>Lingwood</w:t>
      </w:r>
      <w:proofErr w:type="spellEnd"/>
      <w:r w:rsidR="00D4613E">
        <w:rPr>
          <w:rFonts w:eastAsia="Times New Roman"/>
          <w:szCs w:val="24"/>
        </w:rPr>
        <w:t xml:space="preserve"> wa</w:t>
      </w:r>
      <w:r>
        <w:rPr>
          <w:rFonts w:eastAsia="Times New Roman"/>
          <w:szCs w:val="24"/>
        </w:rPr>
        <w:t>s the s</w:t>
      </w:r>
      <w:r w:rsidR="00D33759">
        <w:rPr>
          <w:rFonts w:eastAsia="Times New Roman"/>
          <w:szCs w:val="24"/>
        </w:rPr>
        <w:t>ole trustee of the Trust</w:t>
      </w:r>
      <w:r w:rsidR="00376BFD">
        <w:rPr>
          <w:rFonts w:eastAsia="Times New Roman"/>
          <w:szCs w:val="24"/>
        </w:rPr>
        <w:t>, which</w:t>
      </w:r>
      <w:r>
        <w:rPr>
          <w:rFonts w:eastAsia="Times New Roman"/>
          <w:szCs w:val="24"/>
        </w:rPr>
        <w:t xml:space="preserve"> was</w:t>
      </w:r>
      <w:r w:rsidR="00376BFD">
        <w:rPr>
          <w:rFonts w:eastAsia="Times New Roman"/>
          <w:szCs w:val="24"/>
        </w:rPr>
        <w:t xml:space="preserve"> intended</w:t>
      </w:r>
      <w:r>
        <w:rPr>
          <w:rFonts w:eastAsia="Times New Roman"/>
          <w:szCs w:val="24"/>
        </w:rPr>
        <w:t xml:space="preserve"> </w:t>
      </w:r>
      <w:r w:rsidR="00242C74">
        <w:rPr>
          <w:rFonts w:eastAsia="Times New Roman"/>
          <w:szCs w:val="24"/>
        </w:rPr>
        <w:t>to fund</w:t>
      </w:r>
      <w:r>
        <w:rPr>
          <w:rFonts w:eastAsia="Times New Roman"/>
          <w:szCs w:val="24"/>
        </w:rPr>
        <w:t xml:space="preserve"> Bob</w:t>
      </w:r>
      <w:r w:rsidR="000B0B46">
        <w:rPr>
          <w:rFonts w:eastAsia="Times New Roman"/>
          <w:szCs w:val="24"/>
        </w:rPr>
        <w:t>’s care</w:t>
      </w:r>
      <w:r w:rsidR="00411450">
        <w:rPr>
          <w:rFonts w:eastAsia="Times New Roman"/>
          <w:szCs w:val="24"/>
        </w:rPr>
        <w:t>,</w:t>
      </w:r>
      <w:r>
        <w:rPr>
          <w:rFonts w:eastAsia="Times New Roman"/>
          <w:szCs w:val="24"/>
        </w:rPr>
        <w:t xml:space="preserve"> and the beneficiaries were Belinda</w:t>
      </w:r>
      <w:r w:rsidR="00BB5A33">
        <w:rPr>
          <w:rFonts w:eastAsia="Times New Roman"/>
          <w:szCs w:val="24"/>
        </w:rPr>
        <w:t xml:space="preserve"> and Gerald</w:t>
      </w:r>
      <w:r w:rsidR="00507A1C">
        <w:rPr>
          <w:rFonts w:eastAsia="Times New Roman"/>
          <w:szCs w:val="24"/>
        </w:rPr>
        <w:t xml:space="preserve"> </w:t>
      </w:r>
      <w:proofErr w:type="spellStart"/>
      <w:r w:rsidR="00507A1C">
        <w:rPr>
          <w:rFonts w:eastAsia="Times New Roman"/>
          <w:szCs w:val="24"/>
        </w:rPr>
        <w:t>Drozdowski</w:t>
      </w:r>
      <w:proofErr w:type="spellEnd"/>
      <w:r w:rsidR="00BB5A33">
        <w:rPr>
          <w:rFonts w:eastAsia="Times New Roman"/>
          <w:szCs w:val="24"/>
        </w:rPr>
        <w:t>, Joan’s son.</w:t>
      </w:r>
      <w:r w:rsidR="004F5E20">
        <w:rPr>
          <w:rFonts w:eastAsia="Times New Roman"/>
          <w:szCs w:val="24"/>
        </w:rPr>
        <w:t xml:space="preserve">  </w:t>
      </w:r>
      <w:r w:rsidR="00D92739">
        <w:t xml:space="preserve">On </w:t>
      </w:r>
      <w:r w:rsidR="00D92739">
        <w:lastRenderedPageBreak/>
        <w:t>February </w:t>
      </w:r>
      <w:r w:rsidR="004F5E20">
        <w:t xml:space="preserve">11, 2016, Belinda resigned as Bob’s </w:t>
      </w:r>
      <w:r w:rsidR="00D92739">
        <w:t>attorney-in-</w:t>
      </w:r>
      <w:r w:rsidR="000B0B46">
        <w:t xml:space="preserve">fact under the </w:t>
      </w:r>
      <w:r w:rsidR="00896926">
        <w:t>DPOA</w:t>
      </w:r>
      <w:r w:rsidR="004F5E20">
        <w:t xml:space="preserve"> </w:t>
      </w:r>
      <w:r w:rsidR="00363847">
        <w:t xml:space="preserve">for the purpose of handling the Trust bank account, making </w:t>
      </w:r>
      <w:proofErr w:type="spellStart"/>
      <w:r w:rsidR="00363847">
        <w:t>Lingwood</w:t>
      </w:r>
      <w:proofErr w:type="spellEnd"/>
      <w:r w:rsidR="00363847">
        <w:t xml:space="preserve"> the sole attorney-in-fact.</w:t>
      </w:r>
    </w:p>
    <w:p w:rsidR="00976F47" w:rsidRDefault="00AA65FE" w:rsidP="00AA65FE">
      <w:pPr>
        <w:spacing w:line="480" w:lineRule="auto"/>
        <w:ind w:firstLine="720"/>
        <w:rPr>
          <w:rFonts w:eastAsia="Times New Roman"/>
          <w:szCs w:val="24"/>
        </w:rPr>
      </w:pPr>
      <w:proofErr w:type="spellStart"/>
      <w:r>
        <w:rPr>
          <w:rFonts w:eastAsia="Times New Roman"/>
          <w:szCs w:val="24"/>
        </w:rPr>
        <w:t>Lingwood</w:t>
      </w:r>
      <w:proofErr w:type="spellEnd"/>
      <w:r>
        <w:rPr>
          <w:rFonts w:eastAsia="Times New Roman"/>
          <w:szCs w:val="24"/>
        </w:rPr>
        <w:t xml:space="preserve"> believed that some of the investments in the Trust were losing money, so she sought the advice of a</w:t>
      </w:r>
      <w:r w:rsidR="00363847">
        <w:rPr>
          <w:rFonts w:eastAsia="Times New Roman"/>
          <w:szCs w:val="24"/>
        </w:rPr>
        <w:t xml:space="preserve"> financial advisor</w:t>
      </w:r>
      <w:r>
        <w:rPr>
          <w:rFonts w:eastAsia="Times New Roman"/>
          <w:szCs w:val="24"/>
        </w:rPr>
        <w:t>.  In an initial meeting, the</w:t>
      </w:r>
      <w:r w:rsidR="00AC360F">
        <w:rPr>
          <w:rFonts w:eastAsia="Times New Roman"/>
          <w:szCs w:val="24"/>
        </w:rPr>
        <w:t xml:space="preserve"> financial advisor suggested </w:t>
      </w:r>
      <w:r>
        <w:rPr>
          <w:rFonts w:eastAsia="Times New Roman"/>
          <w:szCs w:val="24"/>
        </w:rPr>
        <w:t xml:space="preserve">to </w:t>
      </w:r>
      <w:proofErr w:type="spellStart"/>
      <w:r>
        <w:rPr>
          <w:rFonts w:eastAsia="Times New Roman"/>
          <w:szCs w:val="24"/>
        </w:rPr>
        <w:t>Lingwood</w:t>
      </w:r>
      <w:proofErr w:type="spellEnd"/>
      <w:r>
        <w:rPr>
          <w:rFonts w:eastAsia="Times New Roman"/>
          <w:szCs w:val="24"/>
        </w:rPr>
        <w:t xml:space="preserve"> </w:t>
      </w:r>
      <w:r w:rsidR="00AC360F">
        <w:rPr>
          <w:rFonts w:eastAsia="Times New Roman"/>
          <w:szCs w:val="24"/>
        </w:rPr>
        <w:t>that he could manage the Trust portfolio in a way that would make it more</w:t>
      </w:r>
      <w:r w:rsidR="00122D63">
        <w:rPr>
          <w:rFonts w:eastAsia="Times New Roman"/>
          <w:szCs w:val="24"/>
        </w:rPr>
        <w:t xml:space="preserve"> </w:t>
      </w:r>
      <w:r w:rsidR="00A7365E">
        <w:rPr>
          <w:rFonts w:eastAsia="Times New Roman"/>
          <w:szCs w:val="24"/>
        </w:rPr>
        <w:t>diversified</w:t>
      </w:r>
      <w:r w:rsidR="00AC360F">
        <w:rPr>
          <w:rFonts w:eastAsia="Times New Roman"/>
          <w:szCs w:val="24"/>
        </w:rPr>
        <w:t xml:space="preserve">.  </w:t>
      </w:r>
      <w:proofErr w:type="spellStart"/>
      <w:r w:rsidR="00AC360F">
        <w:rPr>
          <w:rFonts w:eastAsia="Times New Roman"/>
          <w:szCs w:val="24"/>
        </w:rPr>
        <w:t>Lingwood</w:t>
      </w:r>
      <w:proofErr w:type="spellEnd"/>
      <w:r w:rsidR="00AC360F">
        <w:rPr>
          <w:rFonts w:eastAsia="Times New Roman"/>
          <w:szCs w:val="24"/>
        </w:rPr>
        <w:t xml:space="preserve"> did not use the financial advisor’s services.  Instea</w:t>
      </w:r>
      <w:r w:rsidR="00423B7A">
        <w:rPr>
          <w:rFonts w:eastAsia="Times New Roman"/>
          <w:szCs w:val="24"/>
        </w:rPr>
        <w:t>d, she determined that she would make a loan from the Trust to herself,</w:t>
      </w:r>
      <w:r w:rsidR="00690023">
        <w:rPr>
          <w:rFonts w:eastAsia="Times New Roman"/>
          <w:szCs w:val="24"/>
        </w:rPr>
        <w:t xml:space="preserve"> secured by her real property,</w:t>
      </w:r>
      <w:r w:rsidR="00423B7A">
        <w:rPr>
          <w:rFonts w:eastAsia="Times New Roman"/>
          <w:szCs w:val="24"/>
        </w:rPr>
        <w:t xml:space="preserve"> which would guarantee a certain rate of return for the Trust.</w:t>
      </w:r>
      <w:r w:rsidR="00AC360F">
        <w:rPr>
          <w:rFonts w:eastAsia="Times New Roman"/>
          <w:szCs w:val="24"/>
        </w:rPr>
        <w:t xml:space="preserve"> </w:t>
      </w:r>
    </w:p>
    <w:p w:rsidR="00D4613E" w:rsidRDefault="00F90A6A" w:rsidP="00F87454">
      <w:pPr>
        <w:spacing w:line="480" w:lineRule="auto"/>
        <w:ind w:firstLine="720"/>
        <w:rPr>
          <w:rFonts w:eastAsia="Times New Roman"/>
          <w:szCs w:val="24"/>
        </w:rPr>
      </w:pPr>
      <w:r>
        <w:rPr>
          <w:rFonts w:eastAsia="Times New Roman"/>
          <w:szCs w:val="24"/>
        </w:rPr>
        <w:t xml:space="preserve">On </w:t>
      </w:r>
      <w:r w:rsidR="00D92739">
        <w:rPr>
          <w:rFonts w:eastAsia="Times New Roman"/>
          <w:szCs w:val="24"/>
        </w:rPr>
        <w:t>March </w:t>
      </w:r>
      <w:r>
        <w:rPr>
          <w:rFonts w:eastAsia="Times New Roman"/>
          <w:szCs w:val="24"/>
        </w:rPr>
        <w:t xml:space="preserve">5, 2016, </w:t>
      </w:r>
      <w:proofErr w:type="spellStart"/>
      <w:r>
        <w:rPr>
          <w:rFonts w:eastAsia="Times New Roman"/>
          <w:szCs w:val="24"/>
        </w:rPr>
        <w:t>L</w:t>
      </w:r>
      <w:r w:rsidR="007A6723">
        <w:rPr>
          <w:rFonts w:eastAsia="Times New Roman"/>
          <w:szCs w:val="24"/>
        </w:rPr>
        <w:t>ingwood</w:t>
      </w:r>
      <w:proofErr w:type="spellEnd"/>
      <w:r w:rsidR="007A6723">
        <w:rPr>
          <w:rFonts w:eastAsia="Times New Roman"/>
          <w:szCs w:val="24"/>
        </w:rPr>
        <w:t xml:space="preserve"> emailed Belinda</w:t>
      </w:r>
      <w:r w:rsidR="0012797A">
        <w:rPr>
          <w:rFonts w:eastAsia="Times New Roman"/>
          <w:szCs w:val="24"/>
        </w:rPr>
        <w:t xml:space="preserve"> about her idea for a loan and borrowing from “Bob’s investment account.”  She</w:t>
      </w:r>
      <w:r w:rsidR="007A6723">
        <w:rPr>
          <w:rFonts w:eastAsia="Times New Roman"/>
          <w:szCs w:val="24"/>
        </w:rPr>
        <w:t xml:space="preserve"> stated:</w:t>
      </w:r>
      <w:r w:rsidR="0012797A">
        <w:rPr>
          <w:rFonts w:eastAsia="Times New Roman"/>
          <w:szCs w:val="24"/>
        </w:rPr>
        <w:t xml:space="preserve"> “</w:t>
      </w:r>
      <w:r w:rsidR="007A6723">
        <w:rPr>
          <w:rFonts w:eastAsia="Times New Roman"/>
          <w:szCs w:val="24"/>
        </w:rPr>
        <w:t xml:space="preserve">I checked on </w:t>
      </w:r>
      <w:r w:rsidR="0012797A">
        <w:rPr>
          <w:rFonts w:eastAsia="Times New Roman"/>
          <w:szCs w:val="24"/>
        </w:rPr>
        <w:t xml:space="preserve">the legality of this type of loan to a Trustee and per the Trust . . . a loan can be made and there is no breach of fiduciary duty as long as you would agree this to be a prudent investment.”  </w:t>
      </w:r>
      <w:proofErr w:type="spellStart"/>
      <w:r w:rsidR="005A2B43">
        <w:rPr>
          <w:rFonts w:eastAsia="Times New Roman"/>
          <w:szCs w:val="24"/>
        </w:rPr>
        <w:t>Lingwood</w:t>
      </w:r>
      <w:proofErr w:type="spellEnd"/>
      <w:r w:rsidR="005A2B43">
        <w:rPr>
          <w:rFonts w:eastAsia="Times New Roman"/>
          <w:szCs w:val="24"/>
        </w:rPr>
        <w:t xml:space="preserve"> testified at trial that at the time she wrote the email, she believed she had the authority to make the loan to herself.</w:t>
      </w:r>
      <w:r w:rsidR="00E4130A">
        <w:rPr>
          <w:rFonts w:eastAsia="Times New Roman"/>
          <w:szCs w:val="24"/>
        </w:rPr>
        <w:t xml:space="preserve">  </w:t>
      </w:r>
      <w:proofErr w:type="spellStart"/>
      <w:r w:rsidR="00E4130A">
        <w:rPr>
          <w:rFonts w:eastAsia="Times New Roman"/>
          <w:szCs w:val="24"/>
        </w:rPr>
        <w:t>Lingwood</w:t>
      </w:r>
      <w:proofErr w:type="spellEnd"/>
      <w:r w:rsidR="00E4130A">
        <w:rPr>
          <w:rFonts w:eastAsia="Times New Roman"/>
          <w:szCs w:val="24"/>
        </w:rPr>
        <w:t xml:space="preserve"> was </w:t>
      </w:r>
      <w:r w:rsidR="00F87454">
        <w:rPr>
          <w:rFonts w:eastAsia="Times New Roman"/>
          <w:szCs w:val="24"/>
        </w:rPr>
        <w:t>not a</w:t>
      </w:r>
      <w:r w:rsidR="002B5897">
        <w:rPr>
          <w:rFonts w:eastAsia="Times New Roman"/>
          <w:szCs w:val="24"/>
        </w:rPr>
        <w:t>sking Belinda for authority to m</w:t>
      </w:r>
      <w:r w:rsidR="00F87454">
        <w:rPr>
          <w:rFonts w:eastAsia="Times New Roman"/>
          <w:szCs w:val="24"/>
        </w:rPr>
        <w:t>ake the loan, but for her agreement that the loan would be a prudent investment.</w:t>
      </w:r>
      <w:r w:rsidR="005A2B43">
        <w:rPr>
          <w:rFonts w:eastAsia="Times New Roman"/>
          <w:szCs w:val="24"/>
        </w:rPr>
        <w:t xml:space="preserve">  </w:t>
      </w:r>
      <w:proofErr w:type="spellStart"/>
      <w:r w:rsidR="003F5E6C">
        <w:rPr>
          <w:rFonts w:eastAsia="Times New Roman"/>
          <w:szCs w:val="24"/>
        </w:rPr>
        <w:t>Lingwood</w:t>
      </w:r>
      <w:proofErr w:type="spellEnd"/>
      <w:r w:rsidR="003F5E6C">
        <w:rPr>
          <w:rFonts w:eastAsia="Times New Roman"/>
          <w:szCs w:val="24"/>
        </w:rPr>
        <w:t xml:space="preserve"> </w:t>
      </w:r>
      <w:r w:rsidR="006167EA">
        <w:rPr>
          <w:rFonts w:eastAsia="Times New Roman"/>
          <w:szCs w:val="24"/>
        </w:rPr>
        <w:t xml:space="preserve">noted in her email that she </w:t>
      </w:r>
      <w:r w:rsidR="0012797A">
        <w:rPr>
          <w:rFonts w:eastAsia="Times New Roman"/>
          <w:szCs w:val="24"/>
        </w:rPr>
        <w:t>believed</w:t>
      </w:r>
      <w:r w:rsidR="003F5E6C">
        <w:rPr>
          <w:rFonts w:eastAsia="Times New Roman"/>
          <w:szCs w:val="24"/>
        </w:rPr>
        <w:t xml:space="preserve"> the</w:t>
      </w:r>
      <w:r w:rsidR="0012797A">
        <w:rPr>
          <w:rFonts w:eastAsia="Times New Roman"/>
          <w:szCs w:val="24"/>
        </w:rPr>
        <w:t xml:space="preserve"> investment</w:t>
      </w:r>
      <w:r w:rsidR="003F5E6C">
        <w:rPr>
          <w:rFonts w:eastAsia="Times New Roman"/>
          <w:szCs w:val="24"/>
        </w:rPr>
        <w:t xml:space="preserve"> account had been experiencing a “loss” over the past few years.  She stated that the </w:t>
      </w:r>
      <w:r w:rsidR="00CB6698">
        <w:rPr>
          <w:rFonts w:eastAsia="Times New Roman"/>
          <w:szCs w:val="24"/>
        </w:rPr>
        <w:t xml:space="preserve">proposed </w:t>
      </w:r>
      <w:r w:rsidR="003F5E6C">
        <w:rPr>
          <w:rFonts w:eastAsia="Times New Roman"/>
          <w:szCs w:val="24"/>
        </w:rPr>
        <w:t xml:space="preserve">loan </w:t>
      </w:r>
      <w:r w:rsidR="007D1DA3">
        <w:rPr>
          <w:rFonts w:eastAsia="Times New Roman"/>
          <w:szCs w:val="24"/>
        </w:rPr>
        <w:t>would guarantee</w:t>
      </w:r>
      <w:r w:rsidR="00D92739">
        <w:rPr>
          <w:rFonts w:eastAsia="Times New Roman"/>
          <w:szCs w:val="24"/>
        </w:rPr>
        <w:t xml:space="preserve"> a return on investment of 4.25 </w:t>
      </w:r>
      <w:r w:rsidR="00255BDC">
        <w:rPr>
          <w:rFonts w:eastAsia="Times New Roman"/>
          <w:szCs w:val="24"/>
        </w:rPr>
        <w:t xml:space="preserve">percent.  </w:t>
      </w:r>
      <w:proofErr w:type="spellStart"/>
      <w:r w:rsidR="00255BDC">
        <w:rPr>
          <w:rFonts w:eastAsia="Times New Roman"/>
          <w:szCs w:val="24"/>
        </w:rPr>
        <w:t>Lingwood</w:t>
      </w:r>
      <w:proofErr w:type="spellEnd"/>
      <w:r w:rsidR="007D1DA3">
        <w:rPr>
          <w:rFonts w:eastAsia="Times New Roman"/>
          <w:szCs w:val="24"/>
        </w:rPr>
        <w:t xml:space="preserve"> specified that she would execute a promissory note for $60,000, secured </w:t>
      </w:r>
      <w:r w:rsidR="00255BDC">
        <w:rPr>
          <w:rFonts w:eastAsia="Times New Roman"/>
          <w:szCs w:val="24"/>
        </w:rPr>
        <w:t>by a deed of trust on her</w:t>
      </w:r>
      <w:r w:rsidR="007D1DA3">
        <w:rPr>
          <w:rFonts w:eastAsia="Times New Roman"/>
          <w:szCs w:val="24"/>
        </w:rPr>
        <w:t xml:space="preserve"> condominium.</w:t>
      </w:r>
      <w:r w:rsidR="0083775D">
        <w:rPr>
          <w:rFonts w:eastAsia="Times New Roman"/>
          <w:szCs w:val="24"/>
        </w:rPr>
        <w:t xml:space="preserve"> </w:t>
      </w:r>
    </w:p>
    <w:p w:rsidR="00AE3F31" w:rsidRDefault="00D92739" w:rsidP="00CB6698">
      <w:pPr>
        <w:spacing w:line="480" w:lineRule="auto"/>
        <w:ind w:right="-144" w:firstLine="720"/>
        <w:rPr>
          <w:rFonts w:eastAsia="Times New Roman"/>
          <w:szCs w:val="24"/>
        </w:rPr>
      </w:pPr>
      <w:r>
        <w:rPr>
          <w:rFonts w:eastAsia="Times New Roman"/>
          <w:szCs w:val="24"/>
        </w:rPr>
        <w:t>On April </w:t>
      </w:r>
      <w:r w:rsidR="000B0B46">
        <w:rPr>
          <w:rFonts w:eastAsia="Times New Roman"/>
          <w:szCs w:val="24"/>
        </w:rPr>
        <w:t>1</w:t>
      </w:r>
      <w:r w:rsidR="00CB6698">
        <w:rPr>
          <w:rFonts w:eastAsia="Times New Roman"/>
          <w:szCs w:val="24"/>
        </w:rPr>
        <w:t>, 2016,</w:t>
      </w:r>
      <w:r w:rsidR="000B0B46">
        <w:rPr>
          <w:rFonts w:eastAsia="Times New Roman"/>
          <w:szCs w:val="24"/>
        </w:rPr>
        <w:t xml:space="preserve"> </w:t>
      </w:r>
      <w:proofErr w:type="spellStart"/>
      <w:r w:rsidR="000B0B46">
        <w:rPr>
          <w:rFonts w:eastAsia="Times New Roman"/>
          <w:szCs w:val="24"/>
        </w:rPr>
        <w:t>Lingwood</w:t>
      </w:r>
      <w:proofErr w:type="spellEnd"/>
      <w:r w:rsidR="000B0B46">
        <w:rPr>
          <w:rFonts w:eastAsia="Times New Roman"/>
          <w:szCs w:val="24"/>
        </w:rPr>
        <w:t xml:space="preserve"> executed a $60,000 promissory note </w:t>
      </w:r>
      <w:r w:rsidR="00A61C86">
        <w:rPr>
          <w:rFonts w:eastAsia="Times New Roman"/>
          <w:szCs w:val="24"/>
        </w:rPr>
        <w:t xml:space="preserve">(the note) </w:t>
      </w:r>
      <w:r w:rsidR="000B0B46">
        <w:rPr>
          <w:rFonts w:eastAsia="Times New Roman"/>
          <w:szCs w:val="24"/>
        </w:rPr>
        <w:t>payable to the Trust with interest at five</w:t>
      </w:r>
      <w:r w:rsidR="009B0242">
        <w:rPr>
          <w:rFonts w:eastAsia="Times New Roman"/>
          <w:szCs w:val="24"/>
        </w:rPr>
        <w:t> </w:t>
      </w:r>
      <w:r w:rsidR="000B0B46">
        <w:rPr>
          <w:rFonts w:eastAsia="Times New Roman"/>
          <w:szCs w:val="24"/>
        </w:rPr>
        <w:t xml:space="preserve">percent per annum, which was higher than the initially proposed </w:t>
      </w:r>
      <w:r w:rsidR="000F468B">
        <w:rPr>
          <w:rFonts w:eastAsia="Times New Roman"/>
          <w:szCs w:val="24"/>
        </w:rPr>
        <w:t>rate</w:t>
      </w:r>
      <w:r w:rsidR="00CB4036">
        <w:rPr>
          <w:rFonts w:eastAsia="Times New Roman"/>
          <w:szCs w:val="24"/>
        </w:rPr>
        <w:t xml:space="preserve">.  </w:t>
      </w:r>
      <w:r w:rsidR="000F468B">
        <w:rPr>
          <w:rFonts w:eastAsia="Times New Roman"/>
          <w:szCs w:val="24"/>
        </w:rPr>
        <w:t>T</w:t>
      </w:r>
      <w:r w:rsidR="00420759">
        <w:rPr>
          <w:rFonts w:eastAsia="Times New Roman"/>
          <w:szCs w:val="24"/>
        </w:rPr>
        <w:t>he same day</w:t>
      </w:r>
      <w:r w:rsidR="00501EEF">
        <w:rPr>
          <w:rFonts w:eastAsia="Times New Roman"/>
          <w:szCs w:val="24"/>
        </w:rPr>
        <w:t xml:space="preserve">, </w:t>
      </w:r>
      <w:proofErr w:type="spellStart"/>
      <w:r w:rsidR="0073660C">
        <w:rPr>
          <w:rFonts w:eastAsia="Times New Roman"/>
          <w:szCs w:val="24"/>
        </w:rPr>
        <w:t>Lingwood</w:t>
      </w:r>
      <w:proofErr w:type="spellEnd"/>
      <w:r w:rsidR="0073660C">
        <w:rPr>
          <w:rFonts w:eastAsia="Times New Roman"/>
          <w:szCs w:val="24"/>
        </w:rPr>
        <w:t xml:space="preserve"> wrote a check from the Trust</w:t>
      </w:r>
      <w:r w:rsidR="00501EEF">
        <w:rPr>
          <w:rFonts w:eastAsia="Times New Roman"/>
          <w:szCs w:val="24"/>
        </w:rPr>
        <w:t xml:space="preserve"> bank</w:t>
      </w:r>
      <w:r w:rsidR="0073660C">
        <w:rPr>
          <w:rFonts w:eastAsia="Times New Roman"/>
          <w:szCs w:val="24"/>
        </w:rPr>
        <w:t xml:space="preserve"> account to herself for $30,000</w:t>
      </w:r>
      <w:r w:rsidR="00411450">
        <w:rPr>
          <w:rFonts w:eastAsia="Times New Roman"/>
          <w:szCs w:val="24"/>
        </w:rPr>
        <w:t>,</w:t>
      </w:r>
      <w:r w:rsidR="000F468B">
        <w:rPr>
          <w:rFonts w:eastAsia="Times New Roman"/>
          <w:szCs w:val="24"/>
        </w:rPr>
        <w:t xml:space="preserve"> which she</w:t>
      </w:r>
      <w:r w:rsidR="00AC50A7">
        <w:rPr>
          <w:rFonts w:eastAsia="Times New Roman"/>
          <w:szCs w:val="24"/>
        </w:rPr>
        <w:t xml:space="preserve"> deposited into her own account.</w:t>
      </w:r>
      <w:r w:rsidR="005B3192">
        <w:rPr>
          <w:rStyle w:val="FootnoteReference"/>
          <w:rFonts w:eastAsia="Times New Roman"/>
          <w:szCs w:val="24"/>
        </w:rPr>
        <w:footnoteReference w:id="7"/>
      </w:r>
      <w:r w:rsidR="00AC50A7">
        <w:rPr>
          <w:rFonts w:eastAsia="Times New Roman"/>
          <w:szCs w:val="24"/>
        </w:rPr>
        <w:t xml:space="preserve">  </w:t>
      </w:r>
      <w:r w:rsidR="000F468B">
        <w:rPr>
          <w:rFonts w:eastAsia="Times New Roman"/>
          <w:szCs w:val="24"/>
        </w:rPr>
        <w:t>O</w:t>
      </w:r>
      <w:r w:rsidR="00CB4036">
        <w:rPr>
          <w:rFonts w:eastAsia="Times New Roman"/>
          <w:szCs w:val="24"/>
        </w:rPr>
        <w:t>n April </w:t>
      </w:r>
      <w:r w:rsidR="004950B1">
        <w:rPr>
          <w:rFonts w:eastAsia="Times New Roman"/>
          <w:szCs w:val="24"/>
        </w:rPr>
        <w:t xml:space="preserve">26, </w:t>
      </w:r>
      <w:r w:rsidR="000F468B">
        <w:rPr>
          <w:rFonts w:eastAsia="Times New Roman"/>
          <w:szCs w:val="24"/>
        </w:rPr>
        <w:t>she</w:t>
      </w:r>
      <w:r w:rsidR="004950B1">
        <w:rPr>
          <w:rFonts w:eastAsia="Times New Roman"/>
          <w:szCs w:val="24"/>
        </w:rPr>
        <w:t xml:space="preserve"> wrote a second check to herself for $30,000 from the Trust </w:t>
      </w:r>
      <w:r w:rsidR="005256A8">
        <w:rPr>
          <w:rFonts w:eastAsia="Times New Roman"/>
          <w:szCs w:val="24"/>
        </w:rPr>
        <w:t xml:space="preserve">bank </w:t>
      </w:r>
      <w:r w:rsidR="00AE3F31">
        <w:rPr>
          <w:rFonts w:eastAsia="Times New Roman"/>
          <w:szCs w:val="24"/>
        </w:rPr>
        <w:t>account</w:t>
      </w:r>
      <w:r w:rsidR="00A7365E">
        <w:rPr>
          <w:rFonts w:eastAsia="Times New Roman"/>
          <w:szCs w:val="24"/>
        </w:rPr>
        <w:t xml:space="preserve"> to complete the $60,000 loan</w:t>
      </w:r>
      <w:r w:rsidR="00AE3F31">
        <w:rPr>
          <w:rFonts w:eastAsia="Times New Roman"/>
          <w:szCs w:val="24"/>
        </w:rPr>
        <w:t xml:space="preserve">.  </w:t>
      </w:r>
      <w:r w:rsidR="00CB6698">
        <w:rPr>
          <w:rFonts w:eastAsia="Times New Roman"/>
          <w:szCs w:val="24"/>
        </w:rPr>
        <w:t xml:space="preserve">On April 27, </w:t>
      </w:r>
      <w:proofErr w:type="spellStart"/>
      <w:r w:rsidR="00CB6698">
        <w:rPr>
          <w:rFonts w:eastAsia="Times New Roman"/>
          <w:szCs w:val="24"/>
        </w:rPr>
        <w:t>Lingwood</w:t>
      </w:r>
      <w:proofErr w:type="spellEnd"/>
      <w:r w:rsidR="00CB6698">
        <w:rPr>
          <w:rFonts w:eastAsia="Times New Roman"/>
          <w:szCs w:val="24"/>
        </w:rPr>
        <w:t xml:space="preserve"> secured the </w:t>
      </w:r>
      <w:r w:rsidR="00CB6698">
        <w:rPr>
          <w:rFonts w:eastAsia="Times New Roman"/>
          <w:szCs w:val="24"/>
        </w:rPr>
        <w:lastRenderedPageBreak/>
        <w:t>note by executing a deed of trust, which she sent to the Sacra</w:t>
      </w:r>
      <w:r w:rsidR="00866AF3">
        <w:rPr>
          <w:rFonts w:eastAsia="Times New Roman"/>
          <w:szCs w:val="24"/>
        </w:rPr>
        <w:t>mento County Recorder’s Office</w:t>
      </w:r>
      <w:r w:rsidR="00CB6698">
        <w:rPr>
          <w:rFonts w:eastAsia="Times New Roman"/>
          <w:szCs w:val="24"/>
        </w:rPr>
        <w:t>.</w:t>
      </w:r>
      <w:r w:rsidR="00420759">
        <w:rPr>
          <w:rFonts w:eastAsia="Times New Roman"/>
          <w:szCs w:val="24"/>
        </w:rPr>
        <w:t xml:space="preserve">  </w:t>
      </w:r>
      <w:proofErr w:type="spellStart"/>
      <w:r w:rsidR="00420759">
        <w:rPr>
          <w:rFonts w:eastAsia="Times New Roman"/>
          <w:szCs w:val="24"/>
        </w:rPr>
        <w:t>Lingwood</w:t>
      </w:r>
      <w:proofErr w:type="spellEnd"/>
      <w:r w:rsidR="00420759">
        <w:rPr>
          <w:rFonts w:eastAsia="Times New Roman"/>
          <w:szCs w:val="24"/>
        </w:rPr>
        <w:t xml:space="preserve"> did not inform Bob, Belinda, or Gerald th</w:t>
      </w:r>
      <w:r w:rsidR="00866AF3">
        <w:rPr>
          <w:rFonts w:eastAsia="Times New Roman"/>
          <w:szCs w:val="24"/>
        </w:rPr>
        <w:t xml:space="preserve">at she had </w:t>
      </w:r>
      <w:r w:rsidR="00E91DBF">
        <w:rPr>
          <w:rFonts w:eastAsia="Times New Roman"/>
          <w:szCs w:val="24"/>
        </w:rPr>
        <w:t>borrowed</w:t>
      </w:r>
      <w:r w:rsidR="00866AF3">
        <w:rPr>
          <w:rFonts w:eastAsia="Times New Roman"/>
          <w:szCs w:val="24"/>
        </w:rPr>
        <w:t xml:space="preserve"> the $6</w:t>
      </w:r>
      <w:r w:rsidR="00420759">
        <w:rPr>
          <w:rFonts w:eastAsia="Times New Roman"/>
          <w:szCs w:val="24"/>
        </w:rPr>
        <w:t>0,000.</w:t>
      </w:r>
    </w:p>
    <w:p w:rsidR="00EA6918" w:rsidRDefault="003C61D0" w:rsidP="007D1DA3">
      <w:pPr>
        <w:spacing w:line="480" w:lineRule="auto"/>
        <w:ind w:firstLine="720"/>
        <w:rPr>
          <w:rFonts w:eastAsia="Times New Roman"/>
          <w:szCs w:val="24"/>
        </w:rPr>
      </w:pPr>
      <w:r>
        <w:rPr>
          <w:rFonts w:eastAsia="Times New Roman"/>
          <w:szCs w:val="24"/>
        </w:rPr>
        <w:t>On May </w:t>
      </w:r>
      <w:r w:rsidR="00EA6918">
        <w:rPr>
          <w:rFonts w:eastAsia="Times New Roman"/>
          <w:szCs w:val="24"/>
        </w:rPr>
        <w:t>2, 2016,</w:t>
      </w:r>
      <w:r w:rsidR="00866AF3">
        <w:rPr>
          <w:rFonts w:eastAsia="Times New Roman"/>
          <w:szCs w:val="24"/>
        </w:rPr>
        <w:t xml:space="preserve"> </w:t>
      </w:r>
      <w:proofErr w:type="spellStart"/>
      <w:r w:rsidR="00866AF3">
        <w:rPr>
          <w:rFonts w:eastAsia="Times New Roman"/>
          <w:szCs w:val="24"/>
        </w:rPr>
        <w:t>Lingwood</w:t>
      </w:r>
      <w:proofErr w:type="spellEnd"/>
      <w:r w:rsidR="00866AF3">
        <w:rPr>
          <w:rFonts w:eastAsia="Times New Roman"/>
          <w:szCs w:val="24"/>
        </w:rPr>
        <w:t xml:space="preserve"> made a $600 payment to the Trust as required under the note.  On that same day, </w:t>
      </w:r>
      <w:r w:rsidR="005256A8">
        <w:rPr>
          <w:rFonts w:eastAsia="Times New Roman"/>
          <w:szCs w:val="24"/>
        </w:rPr>
        <w:t>tw</w:t>
      </w:r>
      <w:r>
        <w:rPr>
          <w:rFonts w:eastAsia="Times New Roman"/>
          <w:szCs w:val="24"/>
        </w:rPr>
        <w:t xml:space="preserve">o months after </w:t>
      </w:r>
      <w:proofErr w:type="spellStart"/>
      <w:r>
        <w:rPr>
          <w:rFonts w:eastAsia="Times New Roman"/>
          <w:szCs w:val="24"/>
        </w:rPr>
        <w:t>Lingwood’s</w:t>
      </w:r>
      <w:proofErr w:type="spellEnd"/>
      <w:r>
        <w:rPr>
          <w:rFonts w:eastAsia="Times New Roman"/>
          <w:szCs w:val="24"/>
        </w:rPr>
        <w:t xml:space="preserve"> March </w:t>
      </w:r>
      <w:r w:rsidR="005256A8">
        <w:rPr>
          <w:rFonts w:eastAsia="Times New Roman"/>
          <w:szCs w:val="24"/>
        </w:rPr>
        <w:t xml:space="preserve">5 email, </w:t>
      </w:r>
      <w:r w:rsidR="00EA6918">
        <w:rPr>
          <w:rFonts w:eastAsia="Times New Roman"/>
          <w:szCs w:val="24"/>
        </w:rPr>
        <w:t xml:space="preserve">Belinda emailed </w:t>
      </w:r>
      <w:proofErr w:type="spellStart"/>
      <w:r w:rsidR="00EA6918">
        <w:rPr>
          <w:rFonts w:eastAsia="Times New Roman"/>
          <w:szCs w:val="24"/>
        </w:rPr>
        <w:t>Lingwood</w:t>
      </w:r>
      <w:proofErr w:type="spellEnd"/>
      <w:r w:rsidR="00EA6918">
        <w:rPr>
          <w:rFonts w:eastAsia="Times New Roman"/>
          <w:szCs w:val="24"/>
        </w:rPr>
        <w:t xml:space="preserve">, expressly </w:t>
      </w:r>
      <w:r w:rsidR="007F400A">
        <w:rPr>
          <w:rFonts w:eastAsia="Times New Roman"/>
          <w:szCs w:val="24"/>
        </w:rPr>
        <w:t>refusing to agree to</w:t>
      </w:r>
      <w:r w:rsidR="00EA6918">
        <w:rPr>
          <w:rFonts w:eastAsia="Times New Roman"/>
          <w:szCs w:val="24"/>
        </w:rPr>
        <w:t xml:space="preserve"> </w:t>
      </w:r>
      <w:proofErr w:type="spellStart"/>
      <w:r w:rsidR="00EA6918">
        <w:rPr>
          <w:rFonts w:eastAsia="Times New Roman"/>
          <w:szCs w:val="24"/>
        </w:rPr>
        <w:t>Lingw</w:t>
      </w:r>
      <w:r w:rsidR="000F6865">
        <w:rPr>
          <w:rFonts w:eastAsia="Times New Roman"/>
          <w:szCs w:val="24"/>
        </w:rPr>
        <w:t>ood’s</w:t>
      </w:r>
      <w:proofErr w:type="spellEnd"/>
      <w:r w:rsidR="000F6865">
        <w:rPr>
          <w:rFonts w:eastAsia="Times New Roman"/>
          <w:szCs w:val="24"/>
        </w:rPr>
        <w:t xml:space="preserve"> </w:t>
      </w:r>
      <w:r w:rsidR="00806F9B">
        <w:rPr>
          <w:rFonts w:eastAsia="Times New Roman"/>
          <w:szCs w:val="24"/>
        </w:rPr>
        <w:t>loan proposal</w:t>
      </w:r>
      <w:r w:rsidR="000F6865">
        <w:rPr>
          <w:rFonts w:eastAsia="Times New Roman"/>
          <w:szCs w:val="24"/>
        </w:rPr>
        <w:t xml:space="preserve">.  </w:t>
      </w:r>
      <w:r w:rsidR="00CB6698">
        <w:rPr>
          <w:rFonts w:eastAsia="Times New Roman"/>
          <w:szCs w:val="24"/>
        </w:rPr>
        <w:t>Belinda stated,</w:t>
      </w:r>
      <w:r w:rsidR="00691C22">
        <w:rPr>
          <w:rFonts w:eastAsia="Times New Roman"/>
          <w:szCs w:val="24"/>
        </w:rPr>
        <w:t xml:space="preserve"> “I do not agree to authorize a personal loan, or any </w:t>
      </w:r>
      <w:r w:rsidR="000F6865">
        <w:rPr>
          <w:rFonts w:eastAsia="Times New Roman"/>
          <w:szCs w:val="24"/>
        </w:rPr>
        <w:t>loan, to you from the trust.”</w:t>
      </w:r>
      <w:r w:rsidR="00691C22">
        <w:rPr>
          <w:rFonts w:eastAsia="Times New Roman"/>
          <w:szCs w:val="24"/>
        </w:rPr>
        <w:t xml:space="preserve">  </w:t>
      </w:r>
      <w:proofErr w:type="spellStart"/>
      <w:r w:rsidR="00BC532B">
        <w:rPr>
          <w:rFonts w:eastAsia="Times New Roman"/>
          <w:szCs w:val="24"/>
        </w:rPr>
        <w:t>Lingwood</w:t>
      </w:r>
      <w:proofErr w:type="spellEnd"/>
      <w:r w:rsidR="00BC532B">
        <w:rPr>
          <w:rFonts w:eastAsia="Times New Roman"/>
          <w:szCs w:val="24"/>
        </w:rPr>
        <w:t xml:space="preserve"> replied to Belinda’s email, but did not discuss the loan or the fact that she had already </w:t>
      </w:r>
      <w:r w:rsidR="00772EEC">
        <w:rPr>
          <w:rFonts w:eastAsia="Times New Roman"/>
          <w:szCs w:val="24"/>
        </w:rPr>
        <w:t>borrowed</w:t>
      </w:r>
      <w:r w:rsidR="000F6865">
        <w:rPr>
          <w:rFonts w:eastAsia="Times New Roman"/>
          <w:szCs w:val="24"/>
        </w:rPr>
        <w:t xml:space="preserve"> the $60,000.</w:t>
      </w:r>
      <w:r w:rsidR="00DD78B1">
        <w:rPr>
          <w:rFonts w:eastAsia="Times New Roman"/>
          <w:szCs w:val="24"/>
        </w:rPr>
        <w:t xml:space="preserve">  </w:t>
      </w:r>
      <w:proofErr w:type="spellStart"/>
      <w:r w:rsidR="00DD78B1">
        <w:rPr>
          <w:rFonts w:eastAsia="Times New Roman"/>
          <w:szCs w:val="24"/>
        </w:rPr>
        <w:t>Lingwood</w:t>
      </w:r>
      <w:proofErr w:type="spellEnd"/>
      <w:r w:rsidR="00DD78B1">
        <w:rPr>
          <w:rFonts w:eastAsia="Times New Roman"/>
          <w:szCs w:val="24"/>
        </w:rPr>
        <w:t xml:space="preserve"> explained at trial that she did not discuss the </w:t>
      </w:r>
      <w:r w:rsidR="007D0645">
        <w:rPr>
          <w:rFonts w:eastAsia="Times New Roman"/>
          <w:szCs w:val="24"/>
        </w:rPr>
        <w:t>loan with Belinda at that time</w:t>
      </w:r>
      <w:r w:rsidR="00DD78B1">
        <w:rPr>
          <w:rFonts w:eastAsia="Times New Roman"/>
          <w:szCs w:val="24"/>
        </w:rPr>
        <w:t xml:space="preserve"> because she wanted to </w:t>
      </w:r>
      <w:r w:rsidR="00920AD2">
        <w:rPr>
          <w:rFonts w:eastAsia="Times New Roman"/>
          <w:szCs w:val="24"/>
        </w:rPr>
        <w:t>provide</w:t>
      </w:r>
      <w:r w:rsidR="00DD78B1">
        <w:rPr>
          <w:rFonts w:eastAsia="Times New Roman"/>
          <w:szCs w:val="24"/>
        </w:rPr>
        <w:t xml:space="preserve"> all of the documentation, including the recorded deed of trust, </w:t>
      </w:r>
      <w:r w:rsidR="00920AD2">
        <w:rPr>
          <w:rFonts w:eastAsia="Times New Roman"/>
          <w:szCs w:val="24"/>
        </w:rPr>
        <w:t>when</w:t>
      </w:r>
      <w:r w:rsidR="007D0645">
        <w:rPr>
          <w:rFonts w:eastAsia="Times New Roman"/>
          <w:szCs w:val="24"/>
        </w:rPr>
        <w:t xml:space="preserve"> she told Belinda that she had </w:t>
      </w:r>
      <w:r w:rsidR="00EE6C8B">
        <w:rPr>
          <w:rFonts w:eastAsia="Times New Roman"/>
          <w:szCs w:val="24"/>
        </w:rPr>
        <w:t>withdrawn the funds</w:t>
      </w:r>
      <w:r w:rsidR="007D0645">
        <w:rPr>
          <w:rFonts w:eastAsia="Times New Roman"/>
          <w:szCs w:val="24"/>
        </w:rPr>
        <w:t xml:space="preserve">.  </w:t>
      </w:r>
      <w:r w:rsidR="007B4EB1">
        <w:rPr>
          <w:rFonts w:eastAsia="Times New Roman"/>
          <w:szCs w:val="24"/>
        </w:rPr>
        <w:t>She</w:t>
      </w:r>
      <w:r w:rsidR="00DC4265">
        <w:rPr>
          <w:rFonts w:eastAsia="Times New Roman"/>
          <w:szCs w:val="24"/>
        </w:rPr>
        <w:t xml:space="preserve"> </w:t>
      </w:r>
      <w:r w:rsidR="007D0645">
        <w:rPr>
          <w:rFonts w:eastAsia="Times New Roman"/>
          <w:szCs w:val="24"/>
        </w:rPr>
        <w:t>testified</w:t>
      </w:r>
      <w:r w:rsidR="00DC4265">
        <w:rPr>
          <w:rFonts w:eastAsia="Times New Roman"/>
          <w:szCs w:val="24"/>
        </w:rPr>
        <w:t xml:space="preserve"> that when she received Belinda’s email, she had already sent the deed of</w:t>
      </w:r>
      <w:r w:rsidR="007F400A">
        <w:rPr>
          <w:rFonts w:eastAsia="Times New Roman"/>
          <w:szCs w:val="24"/>
        </w:rPr>
        <w:t xml:space="preserve"> trust to the recorder’s office, but had not </w:t>
      </w:r>
      <w:r w:rsidR="007B4EB1">
        <w:rPr>
          <w:rFonts w:eastAsia="Times New Roman"/>
          <w:szCs w:val="24"/>
        </w:rPr>
        <w:t xml:space="preserve">yet </w:t>
      </w:r>
      <w:r w:rsidR="007F400A">
        <w:rPr>
          <w:rFonts w:eastAsia="Times New Roman"/>
          <w:szCs w:val="24"/>
        </w:rPr>
        <w:t>received the conformed copy.</w:t>
      </w:r>
      <w:r w:rsidR="00EE6C8B">
        <w:rPr>
          <w:rFonts w:eastAsia="Times New Roman"/>
          <w:szCs w:val="24"/>
        </w:rPr>
        <w:t xml:space="preserve">  T</w:t>
      </w:r>
      <w:r w:rsidR="00363847">
        <w:rPr>
          <w:rFonts w:eastAsia="Times New Roman"/>
          <w:szCs w:val="24"/>
        </w:rPr>
        <w:t xml:space="preserve">he deed of trust was </w:t>
      </w:r>
      <w:r w:rsidR="00920AD2">
        <w:rPr>
          <w:rFonts w:eastAsia="Times New Roman"/>
          <w:szCs w:val="24"/>
        </w:rPr>
        <w:t>recorded on May </w:t>
      </w:r>
      <w:r w:rsidR="00EE6C8B">
        <w:rPr>
          <w:rFonts w:eastAsia="Times New Roman"/>
          <w:szCs w:val="24"/>
        </w:rPr>
        <w:t>4, 2016.</w:t>
      </w:r>
    </w:p>
    <w:p w:rsidR="00691C22" w:rsidRDefault="00691C22" w:rsidP="00285131">
      <w:pPr>
        <w:spacing w:line="480" w:lineRule="auto"/>
        <w:ind w:firstLine="720"/>
        <w:rPr>
          <w:rFonts w:eastAsia="Times New Roman"/>
          <w:szCs w:val="24"/>
        </w:rPr>
      </w:pPr>
      <w:r>
        <w:rPr>
          <w:rFonts w:eastAsia="Times New Roman"/>
          <w:szCs w:val="24"/>
        </w:rPr>
        <w:t>Belinda’s attorney, Susan Hill,</w:t>
      </w:r>
      <w:r w:rsidR="003C61D0">
        <w:rPr>
          <w:rFonts w:eastAsia="Times New Roman"/>
          <w:szCs w:val="24"/>
        </w:rPr>
        <w:t xml:space="preserve"> wrote </w:t>
      </w:r>
      <w:proofErr w:type="spellStart"/>
      <w:r w:rsidR="003C61D0">
        <w:rPr>
          <w:rFonts w:eastAsia="Times New Roman"/>
          <w:szCs w:val="24"/>
        </w:rPr>
        <w:t>Lingwood</w:t>
      </w:r>
      <w:proofErr w:type="spellEnd"/>
      <w:r w:rsidR="003C61D0">
        <w:rPr>
          <w:rFonts w:eastAsia="Times New Roman"/>
          <w:szCs w:val="24"/>
        </w:rPr>
        <w:t xml:space="preserve"> a letter on May </w:t>
      </w:r>
      <w:r>
        <w:rPr>
          <w:rFonts w:eastAsia="Times New Roman"/>
          <w:szCs w:val="24"/>
        </w:rPr>
        <w:t xml:space="preserve">26, 2016, inquiring whether </w:t>
      </w:r>
      <w:proofErr w:type="spellStart"/>
      <w:r>
        <w:rPr>
          <w:rFonts w:eastAsia="Times New Roman"/>
          <w:szCs w:val="24"/>
        </w:rPr>
        <w:t>Lingwood</w:t>
      </w:r>
      <w:proofErr w:type="spellEnd"/>
      <w:r>
        <w:rPr>
          <w:rFonts w:eastAsia="Times New Roman"/>
          <w:szCs w:val="24"/>
        </w:rPr>
        <w:t xml:space="preserve"> had </w:t>
      </w:r>
      <w:r w:rsidR="00285131">
        <w:rPr>
          <w:rFonts w:eastAsia="Times New Roman"/>
          <w:szCs w:val="24"/>
        </w:rPr>
        <w:t xml:space="preserve">“personally” borrowed the $60,000 as proposed </w:t>
      </w:r>
      <w:r w:rsidR="003C61D0">
        <w:rPr>
          <w:rFonts w:eastAsia="Times New Roman"/>
          <w:szCs w:val="24"/>
        </w:rPr>
        <w:t>in the March </w:t>
      </w:r>
      <w:r w:rsidR="00EE6C8B">
        <w:rPr>
          <w:rFonts w:eastAsia="Times New Roman"/>
          <w:szCs w:val="24"/>
        </w:rPr>
        <w:t>5</w:t>
      </w:r>
      <w:r w:rsidR="00285131">
        <w:rPr>
          <w:rFonts w:eastAsia="Times New Roman"/>
          <w:szCs w:val="24"/>
        </w:rPr>
        <w:t xml:space="preserve"> email to Belinda</w:t>
      </w:r>
      <w:r w:rsidR="000F6865">
        <w:rPr>
          <w:rFonts w:eastAsia="Times New Roman"/>
          <w:szCs w:val="24"/>
        </w:rPr>
        <w:t>.</w:t>
      </w:r>
      <w:r>
        <w:rPr>
          <w:rFonts w:eastAsia="Times New Roman"/>
          <w:szCs w:val="24"/>
        </w:rPr>
        <w:t xml:space="preserve">  Hill also requested </w:t>
      </w:r>
      <w:r w:rsidR="007B4EB1">
        <w:rPr>
          <w:rFonts w:eastAsia="Times New Roman"/>
          <w:szCs w:val="24"/>
        </w:rPr>
        <w:t xml:space="preserve">that </w:t>
      </w:r>
      <w:proofErr w:type="spellStart"/>
      <w:r w:rsidR="00BC532B">
        <w:rPr>
          <w:rFonts w:eastAsia="Times New Roman"/>
          <w:szCs w:val="24"/>
        </w:rPr>
        <w:t>Lingwood</w:t>
      </w:r>
      <w:proofErr w:type="spellEnd"/>
      <w:r w:rsidR="00BC532B">
        <w:rPr>
          <w:rFonts w:eastAsia="Times New Roman"/>
          <w:szCs w:val="24"/>
        </w:rPr>
        <w:t xml:space="preserve"> resign </w:t>
      </w:r>
      <w:r w:rsidR="00130242">
        <w:rPr>
          <w:rFonts w:eastAsia="Times New Roman"/>
          <w:szCs w:val="24"/>
        </w:rPr>
        <w:t>as</w:t>
      </w:r>
      <w:r w:rsidR="00BC532B">
        <w:rPr>
          <w:rFonts w:eastAsia="Times New Roman"/>
          <w:szCs w:val="24"/>
        </w:rPr>
        <w:t xml:space="preserve"> </w:t>
      </w:r>
      <w:r w:rsidR="006410F6">
        <w:rPr>
          <w:rFonts w:eastAsia="Times New Roman"/>
          <w:szCs w:val="24"/>
        </w:rPr>
        <w:t>Trust</w:t>
      </w:r>
      <w:r w:rsidR="00130242">
        <w:rPr>
          <w:rFonts w:eastAsia="Times New Roman"/>
          <w:szCs w:val="24"/>
        </w:rPr>
        <w:t>ee</w:t>
      </w:r>
      <w:r w:rsidR="006410F6">
        <w:rPr>
          <w:rFonts w:eastAsia="Times New Roman"/>
          <w:szCs w:val="24"/>
        </w:rPr>
        <w:t>.</w:t>
      </w:r>
      <w:r w:rsidR="00BC532B">
        <w:rPr>
          <w:rFonts w:eastAsia="Times New Roman"/>
          <w:szCs w:val="24"/>
        </w:rPr>
        <w:t xml:space="preserve">  </w:t>
      </w:r>
      <w:proofErr w:type="spellStart"/>
      <w:r w:rsidR="00BC532B">
        <w:rPr>
          <w:rFonts w:eastAsia="Times New Roman"/>
          <w:szCs w:val="24"/>
        </w:rPr>
        <w:t>Lingwood</w:t>
      </w:r>
      <w:proofErr w:type="spellEnd"/>
      <w:r w:rsidR="00BC532B">
        <w:rPr>
          <w:rFonts w:eastAsia="Times New Roman"/>
          <w:szCs w:val="24"/>
        </w:rPr>
        <w:t xml:space="preserve"> re</w:t>
      </w:r>
      <w:r w:rsidR="003C61D0">
        <w:rPr>
          <w:rFonts w:eastAsia="Times New Roman"/>
          <w:szCs w:val="24"/>
        </w:rPr>
        <w:t>plied to Hill by letter on June </w:t>
      </w:r>
      <w:r w:rsidR="00BC532B">
        <w:rPr>
          <w:rFonts w:eastAsia="Times New Roman"/>
          <w:szCs w:val="24"/>
        </w:rPr>
        <w:t>1</w:t>
      </w:r>
      <w:r w:rsidR="007B4EB1">
        <w:rPr>
          <w:rFonts w:eastAsia="Times New Roman"/>
          <w:szCs w:val="24"/>
        </w:rPr>
        <w:t xml:space="preserve">, </w:t>
      </w:r>
      <w:r w:rsidR="00CB462B">
        <w:rPr>
          <w:rFonts w:eastAsia="Times New Roman"/>
          <w:szCs w:val="24"/>
        </w:rPr>
        <w:t>declaring</w:t>
      </w:r>
      <w:r w:rsidR="002700C4">
        <w:rPr>
          <w:rFonts w:eastAsia="Times New Roman"/>
          <w:szCs w:val="24"/>
        </w:rPr>
        <w:t xml:space="preserve"> that she never</w:t>
      </w:r>
      <w:r w:rsidR="006410F6">
        <w:rPr>
          <w:rFonts w:eastAsia="Times New Roman"/>
          <w:szCs w:val="24"/>
        </w:rPr>
        <w:t xml:space="preserve"> </w:t>
      </w:r>
      <w:r w:rsidR="00806F9B">
        <w:rPr>
          <w:rFonts w:eastAsia="Times New Roman"/>
          <w:szCs w:val="24"/>
        </w:rPr>
        <w:t>proposed</w:t>
      </w:r>
      <w:r w:rsidR="006410F6">
        <w:rPr>
          <w:rFonts w:eastAsia="Times New Roman"/>
          <w:szCs w:val="24"/>
        </w:rPr>
        <w:t xml:space="preserve"> a “personal loan.”  </w:t>
      </w:r>
      <w:r w:rsidR="002700C4">
        <w:rPr>
          <w:rFonts w:eastAsia="Times New Roman"/>
          <w:szCs w:val="24"/>
        </w:rPr>
        <w:t>She stated that she made a “real estate investment loan” from the Trust to</w:t>
      </w:r>
      <w:r w:rsidR="00363847">
        <w:rPr>
          <w:rFonts w:eastAsia="Times New Roman"/>
          <w:szCs w:val="24"/>
        </w:rPr>
        <w:t xml:space="preserve"> herself, executed a </w:t>
      </w:r>
      <w:r w:rsidR="002700C4">
        <w:rPr>
          <w:rFonts w:eastAsia="Times New Roman"/>
          <w:szCs w:val="24"/>
        </w:rPr>
        <w:t xml:space="preserve">note, and recorded a deed of trust securing the loan with </w:t>
      </w:r>
      <w:r w:rsidR="005845D4">
        <w:rPr>
          <w:rFonts w:eastAsia="Times New Roman"/>
          <w:szCs w:val="24"/>
        </w:rPr>
        <w:t>her</w:t>
      </w:r>
      <w:r w:rsidR="002700C4">
        <w:rPr>
          <w:rFonts w:eastAsia="Times New Roman"/>
          <w:szCs w:val="24"/>
        </w:rPr>
        <w:t xml:space="preserve"> condominium.</w:t>
      </w:r>
      <w:r w:rsidR="001C1777">
        <w:rPr>
          <w:rFonts w:eastAsia="Times New Roman"/>
          <w:szCs w:val="24"/>
        </w:rPr>
        <w:t xml:space="preserve">  </w:t>
      </w:r>
      <w:proofErr w:type="spellStart"/>
      <w:r w:rsidR="001C1777">
        <w:rPr>
          <w:rFonts w:eastAsia="Times New Roman"/>
          <w:szCs w:val="24"/>
        </w:rPr>
        <w:t>Lingwood</w:t>
      </w:r>
      <w:proofErr w:type="spellEnd"/>
      <w:r w:rsidR="001C1777">
        <w:rPr>
          <w:rFonts w:eastAsia="Times New Roman"/>
          <w:szCs w:val="24"/>
        </w:rPr>
        <w:t xml:space="preserve"> </w:t>
      </w:r>
      <w:r w:rsidR="005845D4">
        <w:rPr>
          <w:rFonts w:eastAsia="Times New Roman"/>
          <w:szCs w:val="24"/>
        </w:rPr>
        <w:t>enclosed</w:t>
      </w:r>
      <w:r w:rsidR="001C1777">
        <w:rPr>
          <w:rFonts w:eastAsia="Times New Roman"/>
          <w:szCs w:val="24"/>
        </w:rPr>
        <w:t xml:space="preserve"> a copy of the note and the deed of trust </w:t>
      </w:r>
      <w:r w:rsidR="005845D4">
        <w:rPr>
          <w:rFonts w:eastAsia="Times New Roman"/>
          <w:szCs w:val="24"/>
        </w:rPr>
        <w:t>with</w:t>
      </w:r>
      <w:r w:rsidR="001C1777">
        <w:rPr>
          <w:rFonts w:eastAsia="Times New Roman"/>
          <w:szCs w:val="24"/>
        </w:rPr>
        <w:t xml:space="preserve"> the </w:t>
      </w:r>
      <w:r w:rsidR="003C61D0">
        <w:rPr>
          <w:rFonts w:eastAsia="Times New Roman"/>
          <w:szCs w:val="24"/>
        </w:rPr>
        <w:t>June </w:t>
      </w:r>
      <w:r w:rsidR="002942A7">
        <w:rPr>
          <w:rFonts w:eastAsia="Times New Roman"/>
          <w:szCs w:val="24"/>
        </w:rPr>
        <w:t xml:space="preserve">1 </w:t>
      </w:r>
      <w:r w:rsidR="001C1777">
        <w:rPr>
          <w:rFonts w:eastAsia="Times New Roman"/>
          <w:szCs w:val="24"/>
        </w:rPr>
        <w:t>letter.</w:t>
      </w:r>
    </w:p>
    <w:p w:rsidR="00264EEC" w:rsidRDefault="003C61D0" w:rsidP="006844C9">
      <w:pPr>
        <w:spacing w:line="480" w:lineRule="auto"/>
        <w:ind w:right="-144" w:firstLine="720"/>
        <w:rPr>
          <w:rFonts w:eastAsia="Times New Roman"/>
          <w:szCs w:val="24"/>
        </w:rPr>
      </w:pPr>
      <w:r>
        <w:rPr>
          <w:rFonts w:eastAsia="Times New Roman"/>
          <w:szCs w:val="24"/>
        </w:rPr>
        <w:t>On June </w:t>
      </w:r>
      <w:r w:rsidR="00264EEC">
        <w:rPr>
          <w:rFonts w:eastAsia="Times New Roman"/>
          <w:szCs w:val="24"/>
        </w:rPr>
        <w:t xml:space="preserve">10, 2016, Hill wrote to </w:t>
      </w:r>
      <w:proofErr w:type="spellStart"/>
      <w:r w:rsidR="00264EEC">
        <w:rPr>
          <w:rFonts w:eastAsia="Times New Roman"/>
          <w:szCs w:val="24"/>
        </w:rPr>
        <w:t>Lingwood</w:t>
      </w:r>
      <w:proofErr w:type="spellEnd"/>
      <w:r w:rsidR="00264EEC">
        <w:rPr>
          <w:rFonts w:eastAsia="Times New Roman"/>
          <w:szCs w:val="24"/>
        </w:rPr>
        <w:t>, demanding immedi</w:t>
      </w:r>
      <w:r w:rsidR="00880E3E">
        <w:rPr>
          <w:rFonts w:eastAsia="Times New Roman"/>
          <w:szCs w:val="24"/>
        </w:rPr>
        <w:t>ate repayment of the $60,000.</w:t>
      </w:r>
      <w:r w:rsidR="00264EEC">
        <w:rPr>
          <w:rFonts w:eastAsia="Times New Roman"/>
          <w:szCs w:val="24"/>
        </w:rPr>
        <w:t xml:space="preserve">  </w:t>
      </w:r>
      <w:proofErr w:type="spellStart"/>
      <w:r w:rsidR="00264EEC">
        <w:rPr>
          <w:rFonts w:eastAsia="Times New Roman"/>
          <w:szCs w:val="24"/>
        </w:rPr>
        <w:t>Lingwood</w:t>
      </w:r>
      <w:proofErr w:type="spellEnd"/>
      <w:r w:rsidR="00264EEC">
        <w:rPr>
          <w:rFonts w:eastAsia="Times New Roman"/>
          <w:szCs w:val="24"/>
        </w:rPr>
        <w:t xml:space="preserve"> replied that she was unable to</w:t>
      </w:r>
      <w:r w:rsidR="00CB462B">
        <w:rPr>
          <w:rFonts w:eastAsia="Times New Roman"/>
          <w:szCs w:val="24"/>
        </w:rPr>
        <w:t xml:space="preserve"> do so</w:t>
      </w:r>
      <w:r w:rsidR="00264EEC">
        <w:rPr>
          <w:rFonts w:eastAsia="Times New Roman"/>
          <w:szCs w:val="24"/>
        </w:rPr>
        <w:t xml:space="preserve"> at that time, but would refinance her </w:t>
      </w:r>
      <w:r w:rsidR="00956546">
        <w:rPr>
          <w:rFonts w:eastAsia="Times New Roman"/>
          <w:szCs w:val="24"/>
        </w:rPr>
        <w:t>condominium</w:t>
      </w:r>
      <w:r w:rsidR="00880E3E">
        <w:rPr>
          <w:rFonts w:eastAsia="Times New Roman"/>
          <w:szCs w:val="24"/>
        </w:rPr>
        <w:t xml:space="preserve"> to repay </w:t>
      </w:r>
      <w:r w:rsidR="00057284">
        <w:rPr>
          <w:rFonts w:eastAsia="Times New Roman"/>
          <w:szCs w:val="24"/>
        </w:rPr>
        <w:t>it</w:t>
      </w:r>
      <w:r w:rsidR="00880E3E">
        <w:rPr>
          <w:rFonts w:eastAsia="Times New Roman"/>
          <w:szCs w:val="24"/>
        </w:rPr>
        <w:t xml:space="preserve">.  </w:t>
      </w:r>
      <w:proofErr w:type="spellStart"/>
      <w:r w:rsidR="006844C9">
        <w:rPr>
          <w:rFonts w:eastAsia="Times New Roman"/>
          <w:szCs w:val="24"/>
        </w:rPr>
        <w:t>Lingwood</w:t>
      </w:r>
      <w:proofErr w:type="spellEnd"/>
      <w:r w:rsidR="006752A2">
        <w:rPr>
          <w:rFonts w:eastAsia="Times New Roman"/>
          <w:szCs w:val="24"/>
        </w:rPr>
        <w:t xml:space="preserve"> resigned as </w:t>
      </w:r>
      <w:r w:rsidR="00130242">
        <w:rPr>
          <w:rFonts w:eastAsia="Times New Roman"/>
          <w:szCs w:val="24"/>
        </w:rPr>
        <w:t>Trustee</w:t>
      </w:r>
      <w:r w:rsidR="006752A2">
        <w:rPr>
          <w:rFonts w:eastAsia="Times New Roman"/>
          <w:szCs w:val="24"/>
        </w:rPr>
        <w:t xml:space="preserve"> and as Bob’</w:t>
      </w:r>
      <w:r>
        <w:rPr>
          <w:rFonts w:eastAsia="Times New Roman"/>
          <w:szCs w:val="24"/>
        </w:rPr>
        <w:t>s attorney</w:t>
      </w:r>
      <w:r w:rsidR="0039486F">
        <w:rPr>
          <w:rFonts w:eastAsia="Times New Roman"/>
          <w:szCs w:val="24"/>
        </w:rPr>
        <w:t>-in-fact</w:t>
      </w:r>
      <w:r>
        <w:rPr>
          <w:rFonts w:eastAsia="Times New Roman"/>
          <w:szCs w:val="24"/>
        </w:rPr>
        <w:t xml:space="preserve"> on June </w:t>
      </w:r>
      <w:r w:rsidR="00EF1BAE">
        <w:rPr>
          <w:rFonts w:eastAsia="Times New Roman"/>
          <w:szCs w:val="24"/>
        </w:rPr>
        <w:t>15</w:t>
      </w:r>
      <w:r w:rsidR="00880E3E">
        <w:rPr>
          <w:rFonts w:eastAsia="Times New Roman"/>
          <w:szCs w:val="24"/>
        </w:rPr>
        <w:t>.</w:t>
      </w:r>
    </w:p>
    <w:p w:rsidR="00830733" w:rsidRDefault="003C61D0" w:rsidP="00830733">
      <w:pPr>
        <w:spacing w:line="480" w:lineRule="auto"/>
        <w:ind w:firstLine="720"/>
        <w:rPr>
          <w:rFonts w:eastAsia="Times New Roman"/>
          <w:szCs w:val="24"/>
        </w:rPr>
      </w:pPr>
      <w:r>
        <w:rPr>
          <w:rFonts w:eastAsia="Times New Roman"/>
          <w:szCs w:val="24"/>
        </w:rPr>
        <w:t>Between April </w:t>
      </w:r>
      <w:r w:rsidR="006752A2">
        <w:rPr>
          <w:rFonts w:eastAsia="Times New Roman"/>
          <w:szCs w:val="24"/>
        </w:rPr>
        <w:t>2 and Jun</w:t>
      </w:r>
      <w:r>
        <w:rPr>
          <w:rFonts w:eastAsia="Times New Roman"/>
          <w:szCs w:val="24"/>
        </w:rPr>
        <w:t>e </w:t>
      </w:r>
      <w:r w:rsidR="006752A2">
        <w:rPr>
          <w:rFonts w:eastAsia="Times New Roman"/>
          <w:szCs w:val="24"/>
        </w:rPr>
        <w:t xml:space="preserve">30, </w:t>
      </w:r>
      <w:r w:rsidR="00041605">
        <w:rPr>
          <w:rFonts w:eastAsia="Times New Roman"/>
          <w:szCs w:val="24"/>
        </w:rPr>
        <w:t xml:space="preserve">2016, </w:t>
      </w:r>
      <w:proofErr w:type="spellStart"/>
      <w:r w:rsidR="006752A2">
        <w:rPr>
          <w:rFonts w:eastAsia="Times New Roman"/>
          <w:szCs w:val="24"/>
        </w:rPr>
        <w:t>Lingwood</w:t>
      </w:r>
      <w:proofErr w:type="spellEnd"/>
      <w:r w:rsidR="006752A2">
        <w:rPr>
          <w:rFonts w:eastAsia="Times New Roman"/>
          <w:szCs w:val="24"/>
        </w:rPr>
        <w:t xml:space="preserve"> spent $58,584.99 of the $60,</w:t>
      </w:r>
      <w:r w:rsidR="00880E3E">
        <w:rPr>
          <w:rFonts w:eastAsia="Times New Roman"/>
          <w:szCs w:val="24"/>
        </w:rPr>
        <w:t xml:space="preserve">000 on personal expenditures.  </w:t>
      </w:r>
      <w:r w:rsidR="006752A2">
        <w:rPr>
          <w:rFonts w:eastAsia="Times New Roman"/>
          <w:szCs w:val="24"/>
        </w:rPr>
        <w:t>Besides the $</w:t>
      </w:r>
      <w:r w:rsidR="00D65AE1">
        <w:rPr>
          <w:rFonts w:eastAsia="Times New Roman"/>
          <w:szCs w:val="24"/>
        </w:rPr>
        <w:t xml:space="preserve">600 payment </w:t>
      </w:r>
      <w:r w:rsidR="00050D2C">
        <w:rPr>
          <w:rFonts w:eastAsia="Times New Roman"/>
          <w:szCs w:val="24"/>
        </w:rPr>
        <w:t>on the note</w:t>
      </w:r>
      <w:r w:rsidR="00D65AE1">
        <w:rPr>
          <w:rFonts w:eastAsia="Times New Roman"/>
          <w:szCs w:val="24"/>
        </w:rPr>
        <w:t xml:space="preserve"> on May </w:t>
      </w:r>
      <w:r w:rsidR="006752A2">
        <w:rPr>
          <w:rFonts w:eastAsia="Times New Roman"/>
          <w:szCs w:val="24"/>
        </w:rPr>
        <w:t xml:space="preserve">2, </w:t>
      </w:r>
      <w:proofErr w:type="spellStart"/>
      <w:r w:rsidR="006752A2">
        <w:rPr>
          <w:rFonts w:eastAsia="Times New Roman"/>
          <w:szCs w:val="24"/>
        </w:rPr>
        <w:t>Lingwood</w:t>
      </w:r>
      <w:proofErr w:type="spellEnd"/>
      <w:r w:rsidR="006752A2">
        <w:rPr>
          <w:rFonts w:eastAsia="Times New Roman"/>
          <w:szCs w:val="24"/>
        </w:rPr>
        <w:t xml:space="preserve"> made $60</w:t>
      </w:r>
      <w:r w:rsidR="00D65AE1">
        <w:rPr>
          <w:rFonts w:eastAsia="Times New Roman"/>
          <w:szCs w:val="24"/>
        </w:rPr>
        <w:t xml:space="preserve">0 </w:t>
      </w:r>
      <w:r w:rsidR="00D65AE1">
        <w:rPr>
          <w:rFonts w:eastAsia="Times New Roman"/>
          <w:szCs w:val="24"/>
        </w:rPr>
        <w:lastRenderedPageBreak/>
        <w:t xml:space="preserve">payments to the Trust on </w:t>
      </w:r>
      <w:r w:rsidR="00CB462B">
        <w:rPr>
          <w:rFonts w:eastAsia="Times New Roman"/>
          <w:szCs w:val="24"/>
        </w:rPr>
        <w:t>May </w:t>
      </w:r>
      <w:r w:rsidR="008456CE">
        <w:rPr>
          <w:rFonts w:eastAsia="Times New Roman"/>
          <w:szCs w:val="24"/>
        </w:rPr>
        <w:t xml:space="preserve">31, </w:t>
      </w:r>
      <w:r w:rsidR="00D65AE1">
        <w:rPr>
          <w:rFonts w:eastAsia="Times New Roman"/>
          <w:szCs w:val="24"/>
        </w:rPr>
        <w:t>July 7, August </w:t>
      </w:r>
      <w:r w:rsidR="006752A2">
        <w:rPr>
          <w:rFonts w:eastAsia="Times New Roman"/>
          <w:szCs w:val="24"/>
        </w:rPr>
        <w:t>3, Sept</w:t>
      </w:r>
      <w:r w:rsidR="00D65AE1">
        <w:rPr>
          <w:rFonts w:eastAsia="Times New Roman"/>
          <w:szCs w:val="24"/>
        </w:rPr>
        <w:t>ember 3, and October </w:t>
      </w:r>
      <w:r w:rsidR="00B44B09">
        <w:rPr>
          <w:rFonts w:eastAsia="Times New Roman"/>
          <w:szCs w:val="24"/>
        </w:rPr>
        <w:t>6, 2016.</w:t>
      </w:r>
      <w:r w:rsidR="00AA7F0E">
        <w:rPr>
          <w:rFonts w:eastAsia="Times New Roman"/>
          <w:szCs w:val="24"/>
        </w:rPr>
        <w:t xml:space="preserve"> </w:t>
      </w:r>
      <w:r w:rsidR="00956546">
        <w:rPr>
          <w:rFonts w:eastAsia="Times New Roman"/>
          <w:szCs w:val="24"/>
        </w:rPr>
        <w:t xml:space="preserve"> </w:t>
      </w:r>
      <w:r w:rsidR="00D65AE1">
        <w:rPr>
          <w:rFonts w:eastAsia="Times New Roman"/>
          <w:szCs w:val="24"/>
        </w:rPr>
        <w:t>On October </w:t>
      </w:r>
      <w:r w:rsidR="00830733">
        <w:rPr>
          <w:rFonts w:eastAsia="Times New Roman"/>
          <w:szCs w:val="24"/>
        </w:rPr>
        <w:t xml:space="preserve">24, Belinda filed a complaint against </w:t>
      </w:r>
      <w:proofErr w:type="spellStart"/>
      <w:r w:rsidR="00830733">
        <w:rPr>
          <w:rFonts w:eastAsia="Times New Roman"/>
          <w:szCs w:val="24"/>
        </w:rPr>
        <w:t>Lingwood</w:t>
      </w:r>
      <w:proofErr w:type="spellEnd"/>
      <w:r w:rsidR="00830733">
        <w:rPr>
          <w:rFonts w:eastAsia="Times New Roman"/>
          <w:szCs w:val="24"/>
        </w:rPr>
        <w:t xml:space="preserve"> with the State Bar.  </w:t>
      </w:r>
      <w:proofErr w:type="spellStart"/>
      <w:r w:rsidR="00830733">
        <w:rPr>
          <w:rFonts w:eastAsia="Times New Roman"/>
          <w:szCs w:val="24"/>
        </w:rPr>
        <w:t>Lingwood</w:t>
      </w:r>
      <w:proofErr w:type="spellEnd"/>
      <w:r w:rsidR="00830733">
        <w:rPr>
          <w:rFonts w:eastAsia="Times New Roman"/>
          <w:szCs w:val="24"/>
        </w:rPr>
        <w:t xml:space="preserve"> </w:t>
      </w:r>
      <w:r w:rsidR="00CB462B">
        <w:rPr>
          <w:rFonts w:eastAsia="Times New Roman"/>
          <w:szCs w:val="24"/>
        </w:rPr>
        <w:t>made</w:t>
      </w:r>
      <w:r w:rsidR="00830733">
        <w:rPr>
          <w:rFonts w:eastAsia="Times New Roman"/>
          <w:szCs w:val="24"/>
        </w:rPr>
        <w:t xml:space="preserve"> additional $600 payments on November</w:t>
      </w:r>
      <w:r w:rsidR="00D65AE1">
        <w:rPr>
          <w:rFonts w:eastAsia="Times New Roman"/>
          <w:szCs w:val="24"/>
        </w:rPr>
        <w:t> 3 and December 4, 2016, and January 5 and February </w:t>
      </w:r>
      <w:r w:rsidR="0039486F">
        <w:rPr>
          <w:rFonts w:eastAsia="Times New Roman"/>
          <w:szCs w:val="24"/>
        </w:rPr>
        <w:t>8, 2017, while she attempted to refinance her condominium.</w:t>
      </w:r>
    </w:p>
    <w:p w:rsidR="00CE7F54" w:rsidRDefault="00AA7F0E" w:rsidP="000873B7">
      <w:pPr>
        <w:spacing w:line="480" w:lineRule="auto"/>
        <w:ind w:firstLine="720"/>
        <w:rPr>
          <w:rFonts w:eastAsia="Times New Roman"/>
          <w:szCs w:val="24"/>
        </w:rPr>
      </w:pPr>
      <w:r>
        <w:rPr>
          <w:rFonts w:eastAsia="Times New Roman"/>
          <w:szCs w:val="24"/>
        </w:rPr>
        <w:t xml:space="preserve">On </w:t>
      </w:r>
      <w:r w:rsidR="00A85F74">
        <w:rPr>
          <w:rFonts w:eastAsia="Times New Roman"/>
          <w:szCs w:val="24"/>
        </w:rPr>
        <w:t>D</w:t>
      </w:r>
      <w:r w:rsidR="00D65AE1">
        <w:rPr>
          <w:rFonts w:eastAsia="Times New Roman"/>
          <w:szCs w:val="24"/>
        </w:rPr>
        <w:t>ecember </w:t>
      </w:r>
      <w:r>
        <w:rPr>
          <w:rFonts w:eastAsia="Times New Roman"/>
          <w:szCs w:val="24"/>
        </w:rPr>
        <w:t xml:space="preserve">4, </w:t>
      </w:r>
      <w:r w:rsidR="000E5F69">
        <w:rPr>
          <w:rFonts w:eastAsia="Times New Roman"/>
          <w:szCs w:val="24"/>
        </w:rPr>
        <w:t xml:space="preserve">2016, </w:t>
      </w:r>
      <w:proofErr w:type="spellStart"/>
      <w:r w:rsidR="0039486F">
        <w:rPr>
          <w:rFonts w:eastAsia="Times New Roman"/>
          <w:szCs w:val="24"/>
        </w:rPr>
        <w:t>Lingwood</w:t>
      </w:r>
      <w:proofErr w:type="spellEnd"/>
      <w:r w:rsidR="00A85F74">
        <w:rPr>
          <w:rFonts w:eastAsia="Times New Roman"/>
          <w:szCs w:val="24"/>
        </w:rPr>
        <w:t xml:space="preserve"> emailed Hill stating that she had preliminary approval on the refinancing and expected to close the deal within three weeks.  She stated that </w:t>
      </w:r>
      <w:r w:rsidR="007F68F1">
        <w:rPr>
          <w:rFonts w:eastAsia="Times New Roman"/>
          <w:szCs w:val="24"/>
        </w:rPr>
        <w:t>the mortgage company</w:t>
      </w:r>
      <w:r w:rsidR="00A85F74">
        <w:rPr>
          <w:rFonts w:eastAsia="Times New Roman"/>
          <w:szCs w:val="24"/>
        </w:rPr>
        <w:t xml:space="preserve"> would contact Belinda for a payoff demand and that Belinda should respond as soon as possible so the loan could close within the </w:t>
      </w:r>
      <w:r w:rsidR="00832451">
        <w:rPr>
          <w:rFonts w:eastAsia="Times New Roman"/>
          <w:szCs w:val="24"/>
        </w:rPr>
        <w:t>time the loan rate was locked</w:t>
      </w:r>
      <w:r w:rsidR="00A85F74">
        <w:rPr>
          <w:rFonts w:eastAsia="Times New Roman"/>
          <w:szCs w:val="24"/>
        </w:rPr>
        <w:t>.</w:t>
      </w:r>
      <w:r w:rsidR="00EB641D">
        <w:rPr>
          <w:rFonts w:eastAsia="Times New Roman"/>
          <w:szCs w:val="24"/>
        </w:rPr>
        <w:t xml:space="preserve">  </w:t>
      </w:r>
      <w:r w:rsidR="001A2471">
        <w:rPr>
          <w:rFonts w:eastAsia="Times New Roman"/>
          <w:szCs w:val="24"/>
        </w:rPr>
        <w:t>Hil</w:t>
      </w:r>
      <w:r w:rsidR="00D65AE1">
        <w:rPr>
          <w:rFonts w:eastAsia="Times New Roman"/>
          <w:szCs w:val="24"/>
        </w:rPr>
        <w:t xml:space="preserve">l wrote to </w:t>
      </w:r>
      <w:proofErr w:type="spellStart"/>
      <w:r w:rsidR="00D65AE1">
        <w:rPr>
          <w:rFonts w:eastAsia="Times New Roman"/>
          <w:szCs w:val="24"/>
        </w:rPr>
        <w:t>Lingwood</w:t>
      </w:r>
      <w:proofErr w:type="spellEnd"/>
      <w:r w:rsidR="00D65AE1">
        <w:rPr>
          <w:rFonts w:eastAsia="Times New Roman"/>
          <w:szCs w:val="24"/>
        </w:rPr>
        <w:t xml:space="preserve"> on December </w:t>
      </w:r>
      <w:r w:rsidR="001A2471">
        <w:rPr>
          <w:rFonts w:eastAsia="Times New Roman"/>
          <w:szCs w:val="24"/>
        </w:rPr>
        <w:t xml:space="preserve">19 that Belinda would sign and mail the requested documents as long as </w:t>
      </w:r>
      <w:proofErr w:type="spellStart"/>
      <w:r w:rsidR="001A2471">
        <w:rPr>
          <w:rFonts w:eastAsia="Times New Roman"/>
          <w:szCs w:val="24"/>
        </w:rPr>
        <w:t>Lingwood</w:t>
      </w:r>
      <w:proofErr w:type="spellEnd"/>
      <w:r w:rsidR="001A2471">
        <w:rPr>
          <w:rFonts w:eastAsia="Times New Roman"/>
          <w:szCs w:val="24"/>
        </w:rPr>
        <w:t xml:space="preserve"> agreed to pay </w:t>
      </w:r>
      <w:r w:rsidR="008456CE">
        <w:rPr>
          <w:rFonts w:eastAsia="Times New Roman"/>
          <w:szCs w:val="24"/>
        </w:rPr>
        <w:t xml:space="preserve">approximately </w:t>
      </w:r>
      <w:r w:rsidR="001A2471">
        <w:rPr>
          <w:rFonts w:eastAsia="Times New Roman"/>
          <w:szCs w:val="24"/>
        </w:rPr>
        <w:t>$8,000 for Hill’s attorney fees.</w:t>
      </w:r>
      <w:r w:rsidR="007F68F1">
        <w:rPr>
          <w:rFonts w:eastAsia="Times New Roman"/>
          <w:szCs w:val="24"/>
        </w:rPr>
        <w:t xml:space="preserve">  </w:t>
      </w:r>
      <w:proofErr w:type="spellStart"/>
      <w:r w:rsidR="00956546">
        <w:rPr>
          <w:rFonts w:eastAsia="Times New Roman"/>
          <w:szCs w:val="24"/>
        </w:rPr>
        <w:t>Lingwood</w:t>
      </w:r>
      <w:proofErr w:type="spellEnd"/>
      <w:r w:rsidR="007F68F1">
        <w:rPr>
          <w:rFonts w:eastAsia="Times New Roman"/>
          <w:szCs w:val="24"/>
        </w:rPr>
        <w:t xml:space="preserve"> responded that </w:t>
      </w:r>
      <w:r w:rsidR="00832451">
        <w:rPr>
          <w:rFonts w:eastAsia="Times New Roman"/>
          <w:szCs w:val="24"/>
        </w:rPr>
        <w:t>she could</w:t>
      </w:r>
      <w:r w:rsidR="007F68F1">
        <w:rPr>
          <w:rFonts w:eastAsia="Times New Roman"/>
          <w:szCs w:val="24"/>
        </w:rPr>
        <w:t xml:space="preserve"> not pay the $8,000 and could not add it to the loan because the loan was already close to the maximum </w:t>
      </w:r>
      <w:r w:rsidR="00956546">
        <w:rPr>
          <w:rFonts w:eastAsia="Times New Roman"/>
          <w:szCs w:val="24"/>
        </w:rPr>
        <w:t xml:space="preserve">amount </w:t>
      </w:r>
      <w:r w:rsidR="007F68F1">
        <w:rPr>
          <w:rFonts w:eastAsia="Times New Roman"/>
          <w:szCs w:val="24"/>
        </w:rPr>
        <w:t xml:space="preserve">permitted by the lender.  </w:t>
      </w:r>
      <w:r w:rsidR="00EB641D">
        <w:rPr>
          <w:rFonts w:eastAsia="Times New Roman"/>
          <w:szCs w:val="24"/>
        </w:rPr>
        <w:t>The loan lo</w:t>
      </w:r>
      <w:r w:rsidR="001A2471">
        <w:rPr>
          <w:rFonts w:eastAsia="Times New Roman"/>
          <w:szCs w:val="24"/>
        </w:rPr>
        <w:t xml:space="preserve">ck rate expired </w:t>
      </w:r>
      <w:r w:rsidR="00D65AE1">
        <w:rPr>
          <w:rFonts w:eastAsia="Times New Roman"/>
          <w:szCs w:val="24"/>
        </w:rPr>
        <w:t>on December </w:t>
      </w:r>
      <w:r w:rsidR="00956546">
        <w:rPr>
          <w:rFonts w:eastAsia="Times New Roman"/>
          <w:szCs w:val="24"/>
        </w:rPr>
        <w:t>23</w:t>
      </w:r>
      <w:r w:rsidR="00735B5B">
        <w:rPr>
          <w:rFonts w:eastAsia="Times New Roman"/>
          <w:szCs w:val="24"/>
        </w:rPr>
        <w:t>,</w:t>
      </w:r>
      <w:r w:rsidR="00956546">
        <w:rPr>
          <w:rFonts w:eastAsia="Times New Roman"/>
          <w:szCs w:val="24"/>
        </w:rPr>
        <w:t xml:space="preserve"> </w:t>
      </w:r>
      <w:r w:rsidR="00376BFD">
        <w:rPr>
          <w:rFonts w:eastAsia="Times New Roman"/>
          <w:szCs w:val="24"/>
        </w:rPr>
        <w:t>when</w:t>
      </w:r>
      <w:r w:rsidR="00956546">
        <w:rPr>
          <w:rFonts w:eastAsia="Times New Roman"/>
          <w:szCs w:val="24"/>
        </w:rPr>
        <w:t xml:space="preserve"> Belinda did not provide</w:t>
      </w:r>
      <w:r w:rsidR="001A2471">
        <w:rPr>
          <w:rFonts w:eastAsia="Times New Roman"/>
          <w:szCs w:val="24"/>
        </w:rPr>
        <w:t xml:space="preserve"> the requested documentation on the advice of Hill.</w:t>
      </w:r>
      <w:r w:rsidR="007F68F1">
        <w:rPr>
          <w:rFonts w:eastAsia="Times New Roman"/>
          <w:szCs w:val="24"/>
        </w:rPr>
        <w:t xml:space="preserve">  </w:t>
      </w:r>
      <w:proofErr w:type="spellStart"/>
      <w:r w:rsidR="007F68F1">
        <w:rPr>
          <w:rFonts w:eastAsia="Times New Roman"/>
          <w:szCs w:val="24"/>
        </w:rPr>
        <w:t>Lingwood</w:t>
      </w:r>
      <w:proofErr w:type="spellEnd"/>
      <w:r w:rsidR="007F68F1">
        <w:rPr>
          <w:rFonts w:eastAsia="Times New Roman"/>
          <w:szCs w:val="24"/>
        </w:rPr>
        <w:t xml:space="preserve"> then continued with her efforts to </w:t>
      </w:r>
      <w:r w:rsidR="00735B5B">
        <w:rPr>
          <w:rFonts w:eastAsia="Times New Roman"/>
          <w:szCs w:val="24"/>
        </w:rPr>
        <w:t xml:space="preserve">refinance and </w:t>
      </w:r>
      <w:r w:rsidR="007F68F1">
        <w:rPr>
          <w:rFonts w:eastAsia="Times New Roman"/>
          <w:szCs w:val="24"/>
        </w:rPr>
        <w:t xml:space="preserve">repay the loan.  Belinda finally signed the </w:t>
      </w:r>
      <w:r w:rsidR="00956546">
        <w:rPr>
          <w:rFonts w:eastAsia="Times New Roman"/>
          <w:szCs w:val="24"/>
        </w:rPr>
        <w:t>payoff</w:t>
      </w:r>
      <w:r w:rsidR="00D65AE1">
        <w:rPr>
          <w:rFonts w:eastAsia="Times New Roman"/>
          <w:szCs w:val="24"/>
        </w:rPr>
        <w:t xml:space="preserve"> demand on February </w:t>
      </w:r>
      <w:r w:rsidR="007F68F1">
        <w:rPr>
          <w:rFonts w:eastAsia="Times New Roman"/>
          <w:szCs w:val="24"/>
        </w:rPr>
        <w:t>9, 2017</w:t>
      </w:r>
      <w:r w:rsidR="00830733">
        <w:rPr>
          <w:rFonts w:eastAsia="Times New Roman"/>
          <w:szCs w:val="24"/>
        </w:rPr>
        <w:t>, and the refinance transaction closed.</w:t>
      </w:r>
      <w:r w:rsidR="008C6E57">
        <w:rPr>
          <w:rFonts w:eastAsia="Times New Roman"/>
          <w:szCs w:val="24"/>
        </w:rPr>
        <w:t xml:space="preserve">  </w:t>
      </w:r>
      <w:r w:rsidR="00D65AE1">
        <w:rPr>
          <w:rFonts w:eastAsia="Times New Roman"/>
          <w:szCs w:val="24"/>
        </w:rPr>
        <w:t>On March </w:t>
      </w:r>
      <w:r w:rsidR="00B1663D">
        <w:rPr>
          <w:rFonts w:eastAsia="Times New Roman"/>
          <w:szCs w:val="24"/>
        </w:rPr>
        <w:t xml:space="preserve">10, 2017, </w:t>
      </w:r>
      <w:r w:rsidR="00735B5B">
        <w:rPr>
          <w:rFonts w:eastAsia="Times New Roman"/>
          <w:szCs w:val="24"/>
        </w:rPr>
        <w:t xml:space="preserve">less than a year after </w:t>
      </w:r>
      <w:proofErr w:type="spellStart"/>
      <w:r w:rsidR="00735B5B">
        <w:rPr>
          <w:rFonts w:eastAsia="Times New Roman"/>
          <w:szCs w:val="24"/>
        </w:rPr>
        <w:t>Lingwood</w:t>
      </w:r>
      <w:proofErr w:type="spellEnd"/>
      <w:r w:rsidR="00735B5B">
        <w:rPr>
          <w:rFonts w:eastAsia="Times New Roman"/>
          <w:szCs w:val="24"/>
        </w:rPr>
        <w:t xml:space="preserve"> had made the loan, she</w:t>
      </w:r>
      <w:r w:rsidR="00B1663D">
        <w:rPr>
          <w:rFonts w:eastAsia="Times New Roman"/>
          <w:szCs w:val="24"/>
        </w:rPr>
        <w:t xml:space="preserve"> repaid the balance in full from the proceeds of refinancing her condominium</w:t>
      </w:r>
      <w:r w:rsidR="002B456F">
        <w:rPr>
          <w:rFonts w:eastAsia="Times New Roman"/>
          <w:szCs w:val="24"/>
        </w:rPr>
        <w:t xml:space="preserve"> </w:t>
      </w:r>
      <w:r w:rsidR="00D65AE1">
        <w:rPr>
          <w:rFonts w:eastAsia="Times New Roman"/>
          <w:szCs w:val="24"/>
        </w:rPr>
        <w:t>with five </w:t>
      </w:r>
      <w:r w:rsidR="002B456F" w:rsidRPr="000C3BC3">
        <w:rPr>
          <w:rFonts w:eastAsia="Times New Roman"/>
          <w:szCs w:val="24"/>
        </w:rPr>
        <w:t>percent interest</w:t>
      </w:r>
      <w:r w:rsidR="003137F2">
        <w:rPr>
          <w:rFonts w:eastAsia="Times New Roman"/>
          <w:szCs w:val="24"/>
        </w:rPr>
        <w:t xml:space="preserve"> as required by the note.</w:t>
      </w:r>
    </w:p>
    <w:p w:rsidR="004F593F" w:rsidRPr="004F593F" w:rsidRDefault="005552DC" w:rsidP="000873B7">
      <w:pPr>
        <w:spacing w:line="480" w:lineRule="auto"/>
        <w:jc w:val="center"/>
        <w:rPr>
          <w:rFonts w:eastAsia="Times New Roman"/>
          <w:b/>
          <w:szCs w:val="24"/>
        </w:rPr>
      </w:pPr>
      <w:r>
        <w:rPr>
          <w:rFonts w:eastAsia="Times New Roman"/>
          <w:b/>
          <w:szCs w:val="24"/>
        </w:rPr>
        <w:t>III.  CULPABILITY</w:t>
      </w:r>
    </w:p>
    <w:p w:rsidR="0066327B" w:rsidRDefault="009E2A53" w:rsidP="000873B7">
      <w:pPr>
        <w:spacing w:line="480" w:lineRule="auto"/>
        <w:ind w:left="720" w:hanging="720"/>
        <w:rPr>
          <w:b/>
        </w:rPr>
      </w:pPr>
      <w:r>
        <w:rPr>
          <w:b/>
        </w:rPr>
        <w:t>A</w:t>
      </w:r>
      <w:r w:rsidR="0066327B" w:rsidRPr="00DF4DC8">
        <w:rPr>
          <w:b/>
        </w:rPr>
        <w:t>.</w:t>
      </w:r>
      <w:r w:rsidR="0066327B" w:rsidRPr="00DF4DC8">
        <w:rPr>
          <w:b/>
        </w:rPr>
        <w:tab/>
        <w:t xml:space="preserve">Count </w:t>
      </w:r>
      <w:r w:rsidR="0066327B">
        <w:rPr>
          <w:b/>
        </w:rPr>
        <w:t>Three</w:t>
      </w:r>
      <w:r w:rsidR="0066327B" w:rsidRPr="00DF4DC8">
        <w:rPr>
          <w:b/>
        </w:rPr>
        <w:t xml:space="preserve">: </w:t>
      </w:r>
      <w:r w:rsidR="0066327B">
        <w:rPr>
          <w:b/>
        </w:rPr>
        <w:t xml:space="preserve">Business </w:t>
      </w:r>
      <w:r w:rsidR="00D65AE1">
        <w:rPr>
          <w:b/>
        </w:rPr>
        <w:t>Transaction with Client (Rule </w:t>
      </w:r>
      <w:r w:rsidR="0066327B">
        <w:rPr>
          <w:b/>
        </w:rPr>
        <w:t>3-300)</w:t>
      </w:r>
      <w:r w:rsidR="0066327B">
        <w:rPr>
          <w:rStyle w:val="FootnoteReference"/>
          <w:b/>
        </w:rPr>
        <w:footnoteReference w:id="8"/>
      </w:r>
    </w:p>
    <w:p w:rsidR="006227C6" w:rsidRDefault="006227C6" w:rsidP="000873B7">
      <w:pPr>
        <w:spacing w:line="480" w:lineRule="auto"/>
        <w:ind w:firstLine="720"/>
        <w:rPr>
          <w:rFonts w:eastAsia="Times New Roman"/>
          <w:szCs w:val="24"/>
        </w:rPr>
      </w:pPr>
      <w:r>
        <w:rPr>
          <w:rFonts w:eastAsia="Times New Roman"/>
          <w:szCs w:val="24"/>
        </w:rPr>
        <w:t xml:space="preserve">Rule 3-300 prohibits attorneys from entering into a business transaction with a client unless (1) the terms of the transaction are fair and reasonable, fully disclosed, and transmitted in writing to the client so that he or she can understand the terms; (2) the client is advised in writing </w:t>
      </w:r>
      <w:r>
        <w:rPr>
          <w:rFonts w:eastAsia="Times New Roman"/>
          <w:szCs w:val="24"/>
        </w:rPr>
        <w:lastRenderedPageBreak/>
        <w:t xml:space="preserve">that he or she may seek the advice of an independent attorney and given a reasonable opportunity to do so; and (3) the client consents in writing to the terms of the transaction.  </w:t>
      </w:r>
    </w:p>
    <w:p w:rsidR="0066327B" w:rsidRDefault="0066327B" w:rsidP="000873B7">
      <w:pPr>
        <w:spacing w:line="480" w:lineRule="auto"/>
        <w:ind w:firstLine="720"/>
        <w:rPr>
          <w:rFonts w:eastAsia="Times New Roman"/>
          <w:szCs w:val="24"/>
        </w:rPr>
      </w:pPr>
      <w:r>
        <w:rPr>
          <w:rFonts w:eastAsia="Times New Roman"/>
          <w:szCs w:val="24"/>
        </w:rPr>
        <w:t xml:space="preserve">In count three, OCTC alleged that </w:t>
      </w:r>
      <w:proofErr w:type="spellStart"/>
      <w:r>
        <w:rPr>
          <w:rFonts w:eastAsia="Times New Roman"/>
          <w:szCs w:val="24"/>
        </w:rPr>
        <w:t>Lingwood</w:t>
      </w:r>
      <w:proofErr w:type="spellEnd"/>
      <w:r>
        <w:rPr>
          <w:rFonts w:eastAsia="Times New Roman"/>
          <w:szCs w:val="24"/>
        </w:rPr>
        <w:t xml:space="preserve"> entered into a business transaction with persons to whom she owed a fiduciary duty, </w:t>
      </w:r>
      <w:r w:rsidR="00097F1D">
        <w:rPr>
          <w:rFonts w:eastAsia="Times New Roman"/>
          <w:szCs w:val="24"/>
        </w:rPr>
        <w:t xml:space="preserve">specifically </w:t>
      </w:r>
      <w:r>
        <w:rPr>
          <w:rFonts w:eastAsia="Times New Roman"/>
          <w:szCs w:val="24"/>
        </w:rPr>
        <w:t>Bob, Belinda, and Gerald,</w:t>
      </w:r>
      <w:r w:rsidR="008E2454">
        <w:rPr>
          <w:rStyle w:val="FootnoteReference"/>
          <w:rFonts w:eastAsia="Times New Roman"/>
          <w:szCs w:val="24"/>
        </w:rPr>
        <w:footnoteReference w:id="9"/>
      </w:r>
      <w:r>
        <w:rPr>
          <w:rFonts w:eastAsia="Times New Roman"/>
          <w:szCs w:val="24"/>
        </w:rPr>
        <w:t xml:space="preserve"> when she “took a $60,000 loan” from the Trust.  The NDC alleged that the terms of the transaction were not fair and reasonable to Bob, </w:t>
      </w:r>
      <w:r w:rsidR="00D65AE1">
        <w:rPr>
          <w:rFonts w:eastAsia="Times New Roman"/>
          <w:szCs w:val="24"/>
        </w:rPr>
        <w:t>Belinda, and Gerald because (1) </w:t>
      </w:r>
      <w:r>
        <w:rPr>
          <w:rFonts w:eastAsia="Times New Roman"/>
          <w:szCs w:val="24"/>
        </w:rPr>
        <w:t>when executed</w:t>
      </w:r>
      <w:r w:rsidR="00D65AE1">
        <w:rPr>
          <w:rFonts w:eastAsia="Times New Roman"/>
          <w:szCs w:val="24"/>
        </w:rPr>
        <w:t>, the loan was not secured; (2) </w:t>
      </w:r>
      <w:proofErr w:type="spellStart"/>
      <w:r>
        <w:rPr>
          <w:rFonts w:eastAsia="Times New Roman"/>
          <w:szCs w:val="24"/>
        </w:rPr>
        <w:t>Lingwood</w:t>
      </w:r>
      <w:proofErr w:type="spellEnd"/>
      <w:r>
        <w:rPr>
          <w:rFonts w:eastAsia="Times New Roman"/>
          <w:szCs w:val="24"/>
        </w:rPr>
        <w:t xml:space="preserve"> did not advise </w:t>
      </w:r>
      <w:r w:rsidR="00097F1D">
        <w:rPr>
          <w:rFonts w:eastAsia="Times New Roman"/>
          <w:szCs w:val="24"/>
        </w:rPr>
        <w:t>them</w:t>
      </w:r>
      <w:r>
        <w:rPr>
          <w:rFonts w:eastAsia="Times New Roman"/>
          <w:szCs w:val="24"/>
        </w:rPr>
        <w:t xml:space="preserve"> in writing that they </w:t>
      </w:r>
      <w:r w:rsidR="00097F1D">
        <w:rPr>
          <w:rFonts w:eastAsia="Times New Roman"/>
          <w:szCs w:val="24"/>
        </w:rPr>
        <w:t>could</w:t>
      </w:r>
      <w:r>
        <w:rPr>
          <w:rFonts w:eastAsia="Times New Roman"/>
          <w:szCs w:val="24"/>
        </w:rPr>
        <w:t xml:space="preserve"> seek the advice of an independent attorney of their choice, and did not give them a reasonable opportu</w:t>
      </w:r>
      <w:r w:rsidR="00D65AE1">
        <w:rPr>
          <w:rFonts w:eastAsia="Times New Roman"/>
          <w:szCs w:val="24"/>
        </w:rPr>
        <w:t>nity to do so; and (3) </w:t>
      </w:r>
      <w:r>
        <w:rPr>
          <w:rFonts w:eastAsia="Times New Roman"/>
          <w:szCs w:val="24"/>
        </w:rPr>
        <w:t>Bob, Belinda, and Gerald did not consent in writing to the terms of the transaction.</w:t>
      </w:r>
      <w:r>
        <w:rPr>
          <w:rStyle w:val="FootnoteReference"/>
          <w:rFonts w:eastAsia="Times New Roman"/>
          <w:szCs w:val="24"/>
        </w:rPr>
        <w:footnoteReference w:id="10"/>
      </w:r>
      <w:r>
        <w:rPr>
          <w:rFonts w:eastAsia="Times New Roman"/>
          <w:szCs w:val="24"/>
        </w:rPr>
        <w:t xml:space="preserve">  The hearing judge found </w:t>
      </w:r>
      <w:proofErr w:type="spellStart"/>
      <w:r>
        <w:rPr>
          <w:rFonts w:eastAsia="Times New Roman"/>
          <w:szCs w:val="24"/>
        </w:rPr>
        <w:t>Lingwood</w:t>
      </w:r>
      <w:proofErr w:type="spellEnd"/>
      <w:r>
        <w:rPr>
          <w:rFonts w:eastAsia="Times New Roman"/>
          <w:szCs w:val="24"/>
        </w:rPr>
        <w:t xml:space="preserve"> culpable as charged.</w:t>
      </w:r>
    </w:p>
    <w:p w:rsidR="00B50B01" w:rsidRPr="00B50B01" w:rsidRDefault="00B50B01" w:rsidP="000873B7">
      <w:pPr>
        <w:spacing w:line="480" w:lineRule="auto"/>
        <w:ind w:firstLine="720"/>
        <w:rPr>
          <w:rFonts w:eastAsia="Times New Roman"/>
          <w:b/>
          <w:szCs w:val="24"/>
        </w:rPr>
      </w:pPr>
      <w:r w:rsidRPr="00B50B01">
        <w:rPr>
          <w:rFonts w:eastAsia="Times New Roman"/>
          <w:b/>
          <w:szCs w:val="24"/>
        </w:rPr>
        <w:t>1.  Attorneys acting as trustees must</w:t>
      </w:r>
      <w:r w:rsidR="00B840A8">
        <w:rPr>
          <w:rFonts w:eastAsia="Times New Roman"/>
          <w:b/>
          <w:szCs w:val="24"/>
        </w:rPr>
        <w:t xml:space="preserve"> </w:t>
      </w:r>
      <w:r w:rsidR="007769B1">
        <w:rPr>
          <w:rFonts w:eastAsia="Times New Roman"/>
          <w:b/>
          <w:szCs w:val="24"/>
        </w:rPr>
        <w:t>follow rule 3-300</w:t>
      </w:r>
    </w:p>
    <w:p w:rsidR="0066327B" w:rsidRDefault="0066327B" w:rsidP="0066327B">
      <w:pPr>
        <w:spacing w:line="480" w:lineRule="auto"/>
        <w:ind w:firstLine="720"/>
        <w:rPr>
          <w:rFonts w:eastAsia="Times New Roman"/>
          <w:szCs w:val="24"/>
        </w:rPr>
      </w:pPr>
      <w:r>
        <w:rPr>
          <w:rFonts w:eastAsia="Times New Roman"/>
          <w:szCs w:val="24"/>
        </w:rPr>
        <w:t>While a trustee must follow the directives contained in the trust instrument (</w:t>
      </w:r>
      <w:r>
        <w:rPr>
          <w:rFonts w:eastAsia="Times New Roman"/>
          <w:i/>
          <w:szCs w:val="24"/>
        </w:rPr>
        <w:t>Copley v. Copley</w:t>
      </w:r>
      <w:r w:rsidR="00D65AE1">
        <w:rPr>
          <w:rFonts w:eastAsia="Times New Roman"/>
          <w:szCs w:val="24"/>
        </w:rPr>
        <w:t xml:space="preserve"> (1981) 126 </w:t>
      </w:r>
      <w:r>
        <w:rPr>
          <w:rFonts w:eastAsia="Times New Roman"/>
          <w:szCs w:val="24"/>
        </w:rPr>
        <w:t>Cal.App.3d 248, 279), the Rules of Professional Conduct impose independent requirements on trustees when they are attorneys.  (</w:t>
      </w:r>
      <w:r>
        <w:rPr>
          <w:rFonts w:eastAsia="Times New Roman"/>
          <w:i/>
          <w:szCs w:val="24"/>
        </w:rPr>
        <w:t>Schneider v. State Bar</w:t>
      </w:r>
      <w:r w:rsidR="00D17740">
        <w:rPr>
          <w:rFonts w:eastAsia="Times New Roman"/>
          <w:szCs w:val="24"/>
        </w:rPr>
        <w:t xml:space="preserve"> (1987) 43 </w:t>
      </w:r>
      <w:r>
        <w:rPr>
          <w:rFonts w:eastAsia="Times New Roman"/>
          <w:szCs w:val="24"/>
        </w:rPr>
        <w:t>Cal.3d 784, 796.)  Even though a non-attorney can serve as a trustee, an attorney trustee who is also performing legal services in a dual capacity must conform all of the services performed to the Rules of Professional Conduct.  (</w:t>
      </w:r>
      <w:r>
        <w:rPr>
          <w:rFonts w:eastAsia="Times New Roman"/>
          <w:i/>
          <w:szCs w:val="24"/>
        </w:rPr>
        <w:t>Layton v. State Bar</w:t>
      </w:r>
      <w:r w:rsidR="00D17740">
        <w:rPr>
          <w:rFonts w:eastAsia="Times New Roman"/>
          <w:szCs w:val="24"/>
        </w:rPr>
        <w:t xml:space="preserve"> (1990) 50 Cal.3d 889, 904.)  </w:t>
      </w:r>
      <w:r>
        <w:rPr>
          <w:rFonts w:eastAsia="Times New Roman"/>
          <w:szCs w:val="24"/>
        </w:rPr>
        <w:t>An attorney entering into a business transaction arising from his</w:t>
      </w:r>
      <w:r w:rsidR="008E0B28">
        <w:rPr>
          <w:rFonts w:eastAsia="Times New Roman"/>
          <w:szCs w:val="24"/>
        </w:rPr>
        <w:t xml:space="preserve"> or her</w:t>
      </w:r>
      <w:r>
        <w:rPr>
          <w:rFonts w:eastAsia="Times New Roman"/>
          <w:szCs w:val="24"/>
        </w:rPr>
        <w:t xml:space="preserve"> duties as tr</w:t>
      </w:r>
      <w:r w:rsidR="00D17740">
        <w:rPr>
          <w:rFonts w:eastAsia="Times New Roman"/>
          <w:szCs w:val="24"/>
        </w:rPr>
        <w:t>ustee is not exempted from rule </w:t>
      </w:r>
      <w:r>
        <w:rPr>
          <w:rFonts w:eastAsia="Times New Roman"/>
          <w:szCs w:val="24"/>
        </w:rPr>
        <w:t>3-300.  (</w:t>
      </w:r>
      <w:r>
        <w:rPr>
          <w:rFonts w:eastAsia="Times New Roman"/>
          <w:i/>
          <w:szCs w:val="24"/>
        </w:rPr>
        <w:t>Schneider v. State Bar</w:t>
      </w:r>
      <w:r>
        <w:rPr>
          <w:rFonts w:eastAsia="Times New Roman"/>
          <w:szCs w:val="24"/>
        </w:rPr>
        <w:t xml:space="preserve">, </w:t>
      </w:r>
      <w:r w:rsidRPr="00B75072">
        <w:rPr>
          <w:rFonts w:eastAsia="Times New Roman"/>
          <w:i/>
          <w:szCs w:val="24"/>
        </w:rPr>
        <w:t>supra</w:t>
      </w:r>
      <w:r w:rsidR="00D17740">
        <w:rPr>
          <w:rFonts w:eastAsia="Times New Roman"/>
          <w:szCs w:val="24"/>
        </w:rPr>
        <w:t>, 43 Cal.3d at p. </w:t>
      </w:r>
      <w:r>
        <w:rPr>
          <w:rFonts w:eastAsia="Times New Roman"/>
          <w:szCs w:val="24"/>
        </w:rPr>
        <w:t>796</w:t>
      </w:r>
      <w:r w:rsidR="00F25168">
        <w:rPr>
          <w:rFonts w:eastAsia="Times New Roman"/>
          <w:szCs w:val="24"/>
        </w:rPr>
        <w:t xml:space="preserve"> [applying former rule</w:t>
      </w:r>
      <w:r w:rsidR="007769B1">
        <w:rPr>
          <w:rFonts w:eastAsia="Times New Roman"/>
          <w:szCs w:val="24"/>
        </w:rPr>
        <w:t> </w:t>
      </w:r>
      <w:r w:rsidR="00F25168">
        <w:rPr>
          <w:rFonts w:eastAsia="Times New Roman"/>
          <w:szCs w:val="24"/>
        </w:rPr>
        <w:t>5-101</w:t>
      </w:r>
      <w:r w:rsidR="004273BF">
        <w:rPr>
          <w:rFonts w:eastAsia="Times New Roman"/>
          <w:szCs w:val="24"/>
        </w:rPr>
        <w:t>]</w:t>
      </w:r>
      <w:r>
        <w:rPr>
          <w:rFonts w:eastAsia="Times New Roman"/>
          <w:szCs w:val="24"/>
        </w:rPr>
        <w:t xml:space="preserve">.)  </w:t>
      </w:r>
    </w:p>
    <w:p w:rsidR="004A651E" w:rsidRDefault="004A651E" w:rsidP="0066327B">
      <w:pPr>
        <w:spacing w:line="480" w:lineRule="auto"/>
        <w:ind w:firstLine="720"/>
        <w:rPr>
          <w:rFonts w:eastAsia="Times New Roman"/>
          <w:szCs w:val="24"/>
        </w:rPr>
      </w:pPr>
    </w:p>
    <w:p w:rsidR="004A651E" w:rsidRDefault="004A651E" w:rsidP="0066327B">
      <w:pPr>
        <w:spacing w:line="480" w:lineRule="auto"/>
        <w:ind w:firstLine="720"/>
        <w:rPr>
          <w:rFonts w:eastAsia="Times New Roman"/>
          <w:szCs w:val="24"/>
        </w:rPr>
      </w:pPr>
    </w:p>
    <w:p w:rsidR="00B840A8" w:rsidRPr="00B840A8" w:rsidRDefault="00B840A8" w:rsidP="00B840A8">
      <w:pPr>
        <w:spacing w:line="480" w:lineRule="auto"/>
        <w:ind w:firstLine="720"/>
        <w:rPr>
          <w:rFonts w:eastAsia="Times New Roman"/>
          <w:b/>
          <w:szCs w:val="24"/>
        </w:rPr>
      </w:pPr>
      <w:r w:rsidRPr="00B840A8">
        <w:rPr>
          <w:rFonts w:eastAsia="Times New Roman"/>
          <w:b/>
          <w:szCs w:val="24"/>
        </w:rPr>
        <w:lastRenderedPageBreak/>
        <w:t>2.  Beli</w:t>
      </w:r>
      <w:r w:rsidR="00F7197C">
        <w:rPr>
          <w:rFonts w:eastAsia="Times New Roman"/>
          <w:b/>
          <w:szCs w:val="24"/>
        </w:rPr>
        <w:t xml:space="preserve">nda and Gerald were </w:t>
      </w:r>
      <w:proofErr w:type="spellStart"/>
      <w:r w:rsidR="00F7197C">
        <w:rPr>
          <w:rFonts w:eastAsia="Times New Roman"/>
          <w:b/>
          <w:szCs w:val="24"/>
        </w:rPr>
        <w:t>Lingwood’s</w:t>
      </w:r>
      <w:proofErr w:type="spellEnd"/>
      <w:r w:rsidR="00F7197C">
        <w:rPr>
          <w:rFonts w:eastAsia="Times New Roman"/>
          <w:b/>
          <w:szCs w:val="24"/>
        </w:rPr>
        <w:t xml:space="preserve"> “</w:t>
      </w:r>
      <w:r w:rsidRPr="00B840A8">
        <w:rPr>
          <w:rFonts w:eastAsia="Times New Roman"/>
          <w:b/>
          <w:szCs w:val="24"/>
        </w:rPr>
        <w:t>clients” for rule 3-300</w:t>
      </w:r>
      <w:r w:rsidR="007769B1">
        <w:rPr>
          <w:rFonts w:eastAsia="Times New Roman"/>
          <w:b/>
          <w:szCs w:val="24"/>
        </w:rPr>
        <w:t xml:space="preserve"> purposes</w:t>
      </w:r>
    </w:p>
    <w:p w:rsidR="0066327B" w:rsidRDefault="00E874F0" w:rsidP="0066327B">
      <w:pPr>
        <w:spacing w:line="480" w:lineRule="auto"/>
        <w:ind w:firstLine="720"/>
        <w:rPr>
          <w:rFonts w:eastAsia="Times New Roman"/>
          <w:szCs w:val="24"/>
        </w:rPr>
      </w:pPr>
      <w:r>
        <w:rPr>
          <w:rFonts w:eastAsia="Times New Roman"/>
          <w:szCs w:val="24"/>
        </w:rPr>
        <w:t>B</w:t>
      </w:r>
      <w:r w:rsidR="0066327B">
        <w:rPr>
          <w:rFonts w:eastAsia="Times New Roman"/>
          <w:szCs w:val="24"/>
        </w:rPr>
        <w:t xml:space="preserve">eneficiaries of a trust are not “clients” of an attorney trustee, </w:t>
      </w:r>
      <w:r>
        <w:rPr>
          <w:rFonts w:eastAsia="Times New Roman"/>
          <w:szCs w:val="24"/>
        </w:rPr>
        <w:t xml:space="preserve">but </w:t>
      </w:r>
      <w:r w:rsidR="00097F1D">
        <w:rPr>
          <w:rFonts w:eastAsia="Times New Roman"/>
          <w:szCs w:val="24"/>
        </w:rPr>
        <w:t xml:space="preserve">the </w:t>
      </w:r>
      <w:r w:rsidR="0066327B">
        <w:rPr>
          <w:rFonts w:eastAsia="Times New Roman"/>
          <w:szCs w:val="24"/>
        </w:rPr>
        <w:t xml:space="preserve">attorney trustee may </w:t>
      </w:r>
      <w:r w:rsidR="00097F1D">
        <w:rPr>
          <w:rFonts w:eastAsia="Times New Roman"/>
          <w:szCs w:val="24"/>
        </w:rPr>
        <w:t xml:space="preserve">nevertheless </w:t>
      </w:r>
      <w:r w:rsidR="0066327B">
        <w:rPr>
          <w:rFonts w:eastAsia="Times New Roman"/>
          <w:szCs w:val="24"/>
        </w:rPr>
        <w:t xml:space="preserve">be disciplined as if they were her clients </w:t>
      </w:r>
      <w:r w:rsidR="00097F1D">
        <w:rPr>
          <w:rFonts w:eastAsia="Times New Roman"/>
          <w:szCs w:val="24"/>
        </w:rPr>
        <w:t>because</w:t>
      </w:r>
      <w:r w:rsidR="0066327B">
        <w:rPr>
          <w:rFonts w:eastAsia="Times New Roman"/>
          <w:szCs w:val="24"/>
        </w:rPr>
        <w:t xml:space="preserve"> of the attorney’s fiduciary relationship with the beneficiaries.  (</w:t>
      </w:r>
      <w:r w:rsidR="00455441">
        <w:t>See</w:t>
      </w:r>
      <w:r w:rsidR="00455441">
        <w:rPr>
          <w:rFonts w:eastAsia="Times New Roman"/>
          <w:i/>
          <w:szCs w:val="24"/>
        </w:rPr>
        <w:t xml:space="preserve"> </w:t>
      </w:r>
      <w:proofErr w:type="spellStart"/>
      <w:r w:rsidR="0066327B">
        <w:rPr>
          <w:rFonts w:eastAsia="Times New Roman"/>
          <w:i/>
          <w:szCs w:val="24"/>
        </w:rPr>
        <w:t>Guzzetta</w:t>
      </w:r>
      <w:proofErr w:type="spellEnd"/>
      <w:r w:rsidR="0066327B">
        <w:rPr>
          <w:rFonts w:eastAsia="Times New Roman"/>
          <w:i/>
          <w:szCs w:val="24"/>
        </w:rPr>
        <w:t xml:space="preserve"> v. State Bar</w:t>
      </w:r>
      <w:r w:rsidR="00D17740">
        <w:rPr>
          <w:rFonts w:eastAsia="Times New Roman"/>
          <w:szCs w:val="24"/>
        </w:rPr>
        <w:t xml:space="preserve"> (1987) 43 </w:t>
      </w:r>
      <w:r w:rsidR="0066327B">
        <w:rPr>
          <w:rFonts w:eastAsia="Times New Roman"/>
          <w:szCs w:val="24"/>
        </w:rPr>
        <w:t xml:space="preserve">Cal.3d 962, 979 </w:t>
      </w:r>
      <w:r w:rsidR="008F0B31">
        <w:rPr>
          <w:rFonts w:eastAsia="Times New Roman"/>
          <w:szCs w:val="24"/>
        </w:rPr>
        <w:t xml:space="preserve">    </w:t>
      </w:r>
      <w:r w:rsidR="0066327B">
        <w:rPr>
          <w:rFonts w:eastAsia="Times New Roman"/>
          <w:szCs w:val="24"/>
        </w:rPr>
        <w:t xml:space="preserve">[non-client treated as client for purposes of discipline where attorney was constructive trustee to non-client constructive beneficiary with respect to funds held in client trust account]; </w:t>
      </w:r>
      <w:r w:rsidR="0066327B">
        <w:rPr>
          <w:rFonts w:eastAsia="Times New Roman"/>
          <w:i/>
          <w:szCs w:val="24"/>
        </w:rPr>
        <w:t xml:space="preserve">In the Matter of </w:t>
      </w:r>
      <w:proofErr w:type="spellStart"/>
      <w:r w:rsidR="0066327B">
        <w:rPr>
          <w:rFonts w:eastAsia="Times New Roman"/>
          <w:i/>
          <w:szCs w:val="24"/>
        </w:rPr>
        <w:t>Hultman</w:t>
      </w:r>
      <w:proofErr w:type="spellEnd"/>
      <w:r w:rsidR="00D17740">
        <w:rPr>
          <w:rFonts w:eastAsia="Times New Roman"/>
          <w:szCs w:val="24"/>
        </w:rPr>
        <w:t xml:space="preserve"> (Review Dept. 1995) 3 </w:t>
      </w:r>
      <w:r w:rsidR="0066327B">
        <w:rPr>
          <w:rFonts w:eastAsia="Times New Roman"/>
          <w:szCs w:val="24"/>
        </w:rPr>
        <w:t xml:space="preserve">Cal. State Bar Ct. </w:t>
      </w:r>
      <w:proofErr w:type="spellStart"/>
      <w:r w:rsidR="0066327B">
        <w:rPr>
          <w:rFonts w:eastAsia="Times New Roman"/>
          <w:szCs w:val="24"/>
        </w:rPr>
        <w:t>Rptr</w:t>
      </w:r>
      <w:proofErr w:type="spellEnd"/>
      <w:r w:rsidR="0066327B">
        <w:rPr>
          <w:rFonts w:eastAsia="Times New Roman"/>
          <w:szCs w:val="24"/>
        </w:rPr>
        <w:t>. 297, 307 [attorney trustee had fiduciary duties to non-client beneficiaries of trust for d</w:t>
      </w:r>
      <w:r w:rsidR="00D17740">
        <w:rPr>
          <w:rFonts w:eastAsia="Times New Roman"/>
          <w:szCs w:val="24"/>
        </w:rPr>
        <w:t>isciplinary purposes under rule </w:t>
      </w:r>
      <w:r w:rsidR="0066327B">
        <w:rPr>
          <w:rFonts w:eastAsia="Times New Roman"/>
          <w:szCs w:val="24"/>
        </w:rPr>
        <w:t xml:space="preserve">3-300].)  </w:t>
      </w:r>
    </w:p>
    <w:p w:rsidR="0066327B" w:rsidRDefault="00D17740" w:rsidP="004A651E">
      <w:pPr>
        <w:spacing w:line="480" w:lineRule="auto"/>
        <w:ind w:right="-144" w:firstLine="720"/>
        <w:rPr>
          <w:rFonts w:eastAsia="Times New Roman"/>
          <w:szCs w:val="24"/>
        </w:rPr>
      </w:pPr>
      <w:r>
        <w:rPr>
          <w:rFonts w:eastAsia="Times New Roman"/>
          <w:szCs w:val="24"/>
        </w:rPr>
        <w:t>Under Probate Code section </w:t>
      </w:r>
      <w:r w:rsidR="0066327B">
        <w:rPr>
          <w:rFonts w:eastAsia="Times New Roman"/>
          <w:szCs w:val="24"/>
        </w:rPr>
        <w:t>15800,</w:t>
      </w:r>
      <w:r w:rsidR="007769B1">
        <w:rPr>
          <w:rFonts w:eastAsia="Times New Roman"/>
          <w:szCs w:val="24"/>
        </w:rPr>
        <w:t xml:space="preserve"> subdivision </w:t>
      </w:r>
      <w:r w:rsidR="00455441">
        <w:rPr>
          <w:rFonts w:eastAsia="Times New Roman"/>
          <w:szCs w:val="24"/>
        </w:rPr>
        <w:t>(b),</w:t>
      </w:r>
      <w:r w:rsidR="0066327B">
        <w:rPr>
          <w:rFonts w:eastAsia="Times New Roman"/>
          <w:szCs w:val="24"/>
        </w:rPr>
        <w:t xml:space="preserve"> the trustee of a revocable trust owes a fiduciary duty to the person holding the power to revoke—the settlor.  Further, a competent settlor h</w:t>
      </w:r>
      <w:r w:rsidR="004A651E">
        <w:rPr>
          <w:rFonts w:eastAsia="Times New Roman"/>
          <w:szCs w:val="24"/>
        </w:rPr>
        <w:t>ol</w:t>
      </w:r>
      <w:r w:rsidR="0066327B">
        <w:rPr>
          <w:rFonts w:eastAsia="Times New Roman"/>
          <w:szCs w:val="24"/>
        </w:rPr>
        <w:t>ds the power to consent when required, not the</w:t>
      </w:r>
      <w:r>
        <w:rPr>
          <w:rFonts w:eastAsia="Times New Roman"/>
          <w:szCs w:val="24"/>
        </w:rPr>
        <w:t xml:space="preserve"> beneficiaries.  (Prob. Code, § </w:t>
      </w:r>
      <w:r w:rsidR="0066327B">
        <w:rPr>
          <w:rFonts w:eastAsia="Times New Roman"/>
          <w:szCs w:val="24"/>
        </w:rPr>
        <w:t>15801</w:t>
      </w:r>
      <w:r w:rsidR="007769B1">
        <w:rPr>
          <w:rFonts w:eastAsia="Times New Roman"/>
          <w:szCs w:val="24"/>
        </w:rPr>
        <w:t xml:space="preserve">, </w:t>
      </w:r>
      <w:proofErr w:type="spellStart"/>
      <w:r w:rsidR="007769B1">
        <w:rPr>
          <w:rFonts w:eastAsia="Times New Roman"/>
          <w:szCs w:val="24"/>
        </w:rPr>
        <w:t>subd</w:t>
      </w:r>
      <w:proofErr w:type="spellEnd"/>
      <w:r w:rsidR="007769B1">
        <w:rPr>
          <w:rFonts w:eastAsia="Times New Roman"/>
          <w:szCs w:val="24"/>
        </w:rPr>
        <w:t>. </w:t>
      </w:r>
      <w:r w:rsidR="00455441">
        <w:rPr>
          <w:rFonts w:eastAsia="Times New Roman"/>
          <w:szCs w:val="24"/>
        </w:rPr>
        <w:t>(a).</w:t>
      </w:r>
      <w:r w:rsidR="0066327B">
        <w:rPr>
          <w:rFonts w:eastAsia="Times New Roman"/>
          <w:szCs w:val="24"/>
        </w:rPr>
        <w:t>)  Here, Bob was the named settlor of the Trust.  However, he was diagnos</w:t>
      </w:r>
      <w:r w:rsidR="004273BF">
        <w:rPr>
          <w:rFonts w:eastAsia="Times New Roman"/>
          <w:szCs w:val="24"/>
        </w:rPr>
        <w:t xml:space="preserve">ed with Alzheimer’s disease, </w:t>
      </w:r>
      <w:r w:rsidR="0066327B">
        <w:rPr>
          <w:rFonts w:eastAsia="Times New Roman"/>
          <w:szCs w:val="24"/>
        </w:rPr>
        <w:t xml:space="preserve">resided in a memory care facility, </w:t>
      </w:r>
      <w:r w:rsidR="00023F1A">
        <w:rPr>
          <w:rFonts w:eastAsia="Times New Roman"/>
          <w:szCs w:val="24"/>
        </w:rPr>
        <w:t>and was</w:t>
      </w:r>
      <w:r w:rsidR="0066327B">
        <w:rPr>
          <w:rFonts w:eastAsia="Times New Roman"/>
          <w:szCs w:val="24"/>
        </w:rPr>
        <w:t xml:space="preserve"> unable to consent.  When a settlor lacks capacity, the trustee owes a duty to provide information to the beneficiaries.  (Rest.</w:t>
      </w:r>
      <w:r w:rsidR="00222A38">
        <w:rPr>
          <w:rFonts w:eastAsia="Times New Roman"/>
          <w:szCs w:val="24"/>
        </w:rPr>
        <w:t> </w:t>
      </w:r>
      <w:r w:rsidR="0066327B">
        <w:rPr>
          <w:rFonts w:eastAsia="Times New Roman"/>
          <w:szCs w:val="24"/>
        </w:rPr>
        <w:t>3d Trusts, §</w:t>
      </w:r>
      <w:r w:rsidR="00CF757C">
        <w:rPr>
          <w:rFonts w:eastAsia="Times New Roman"/>
          <w:szCs w:val="24"/>
        </w:rPr>
        <w:t> </w:t>
      </w:r>
      <w:r w:rsidR="0066327B">
        <w:rPr>
          <w:rFonts w:eastAsia="Times New Roman"/>
          <w:szCs w:val="24"/>
        </w:rPr>
        <w:t>74, com.</w:t>
      </w:r>
      <w:r w:rsidR="00CF757C">
        <w:rPr>
          <w:rFonts w:eastAsia="Times New Roman"/>
          <w:szCs w:val="24"/>
        </w:rPr>
        <w:t> </w:t>
      </w:r>
      <w:r w:rsidR="0066327B">
        <w:rPr>
          <w:rFonts w:eastAsia="Times New Roman"/>
          <w:szCs w:val="24"/>
        </w:rPr>
        <w:t xml:space="preserve">(e); </w:t>
      </w:r>
      <w:r w:rsidR="0066327B">
        <w:rPr>
          <w:rFonts w:eastAsia="Times New Roman"/>
          <w:i/>
          <w:szCs w:val="24"/>
        </w:rPr>
        <w:t>Lonely Maiden Productions, LLC v. Golden Tree Asset Management, LP</w:t>
      </w:r>
      <w:r w:rsidR="00CF757C">
        <w:rPr>
          <w:rFonts w:eastAsia="Times New Roman"/>
          <w:szCs w:val="24"/>
        </w:rPr>
        <w:t xml:space="preserve"> (2011) 201 </w:t>
      </w:r>
      <w:r w:rsidR="0066327B">
        <w:rPr>
          <w:rFonts w:eastAsia="Times New Roman"/>
          <w:szCs w:val="24"/>
        </w:rPr>
        <w:t>Cal.App.4th 368, 379 [we may look to Restatement Third of Trusts for guidance].)  Additionally, when a settlor becomes incompetent</w:t>
      </w:r>
      <w:r w:rsidR="004A651E">
        <w:rPr>
          <w:rFonts w:eastAsia="Times New Roman"/>
          <w:szCs w:val="24"/>
        </w:rPr>
        <w:t>, the trust becomes irrevocable</w:t>
      </w:r>
      <w:r w:rsidR="0066327B">
        <w:rPr>
          <w:rFonts w:eastAsia="Times New Roman"/>
          <w:szCs w:val="24"/>
        </w:rPr>
        <w:t xml:space="preserve"> and beneficiaries are entitled to exercise rights under the trust that they normally would not be able to </w:t>
      </w:r>
      <w:r w:rsidR="00023F1A">
        <w:rPr>
          <w:rFonts w:eastAsia="Times New Roman"/>
          <w:szCs w:val="24"/>
        </w:rPr>
        <w:t xml:space="preserve">exercise </w:t>
      </w:r>
      <w:r w:rsidR="0066327B">
        <w:rPr>
          <w:rFonts w:eastAsia="Times New Roman"/>
          <w:szCs w:val="24"/>
        </w:rPr>
        <w:t>when their interest was only contingent.  (Rest.</w:t>
      </w:r>
      <w:r w:rsidR="00222A38">
        <w:rPr>
          <w:rFonts w:eastAsia="Times New Roman"/>
          <w:szCs w:val="24"/>
        </w:rPr>
        <w:t> </w:t>
      </w:r>
      <w:r w:rsidR="0066327B">
        <w:rPr>
          <w:rFonts w:eastAsia="Times New Roman"/>
          <w:szCs w:val="24"/>
        </w:rPr>
        <w:t>3d Trusts, §</w:t>
      </w:r>
      <w:r w:rsidR="00CF757C">
        <w:rPr>
          <w:rFonts w:eastAsia="Times New Roman"/>
          <w:szCs w:val="24"/>
        </w:rPr>
        <w:t> </w:t>
      </w:r>
      <w:r w:rsidR="0066327B">
        <w:rPr>
          <w:rFonts w:eastAsia="Times New Roman"/>
          <w:szCs w:val="24"/>
        </w:rPr>
        <w:t>74, com.</w:t>
      </w:r>
      <w:r w:rsidR="00CF757C">
        <w:rPr>
          <w:rFonts w:eastAsia="Times New Roman"/>
          <w:szCs w:val="24"/>
        </w:rPr>
        <w:t> </w:t>
      </w:r>
      <w:r w:rsidR="0066327B">
        <w:rPr>
          <w:rFonts w:eastAsia="Times New Roman"/>
          <w:szCs w:val="24"/>
        </w:rPr>
        <w:t>(a)(2).)  Because Bob was incompetent, Belinda and Gerald had exercisable rights under the Trust as beneficiaries</w:t>
      </w:r>
      <w:r w:rsidR="003523B9">
        <w:rPr>
          <w:rFonts w:eastAsia="Times New Roman"/>
          <w:szCs w:val="24"/>
        </w:rPr>
        <w:t>,</w:t>
      </w:r>
      <w:r w:rsidR="0066327B">
        <w:rPr>
          <w:rFonts w:eastAsia="Times New Roman"/>
          <w:szCs w:val="24"/>
        </w:rPr>
        <w:t xml:space="preserve"> and </w:t>
      </w:r>
      <w:proofErr w:type="spellStart"/>
      <w:r w:rsidR="0066327B">
        <w:rPr>
          <w:rFonts w:eastAsia="Times New Roman"/>
          <w:szCs w:val="24"/>
        </w:rPr>
        <w:t>Lingwood</w:t>
      </w:r>
      <w:proofErr w:type="spellEnd"/>
      <w:r w:rsidR="0066327B">
        <w:rPr>
          <w:rFonts w:eastAsia="Times New Roman"/>
          <w:szCs w:val="24"/>
        </w:rPr>
        <w:t xml:space="preserve"> owed a fiduciary duty to them</w:t>
      </w:r>
      <w:r w:rsidR="00150818">
        <w:rPr>
          <w:rFonts w:eastAsia="Times New Roman"/>
          <w:szCs w:val="24"/>
        </w:rPr>
        <w:t>, consistent with the Trust’s terms</w:t>
      </w:r>
      <w:r w:rsidR="0066327B">
        <w:rPr>
          <w:rFonts w:eastAsia="Times New Roman"/>
          <w:szCs w:val="24"/>
        </w:rPr>
        <w:t xml:space="preserve">.  Accordingly, for disciplinary purposes, </w:t>
      </w:r>
      <w:r w:rsidR="003523B9">
        <w:rPr>
          <w:rFonts w:eastAsia="Times New Roman"/>
          <w:szCs w:val="24"/>
        </w:rPr>
        <w:t>she</w:t>
      </w:r>
      <w:r w:rsidR="0066327B">
        <w:rPr>
          <w:rFonts w:eastAsia="Times New Roman"/>
          <w:szCs w:val="24"/>
        </w:rPr>
        <w:t xml:space="preserve"> was required to treat </w:t>
      </w:r>
      <w:r w:rsidR="005C2920">
        <w:rPr>
          <w:rFonts w:eastAsia="Times New Roman"/>
          <w:szCs w:val="24"/>
        </w:rPr>
        <w:t>them</w:t>
      </w:r>
      <w:r w:rsidR="00CF757C">
        <w:rPr>
          <w:rFonts w:eastAsia="Times New Roman"/>
          <w:szCs w:val="24"/>
        </w:rPr>
        <w:t xml:space="preserve"> as her “clients” under rule </w:t>
      </w:r>
      <w:r w:rsidR="0066327B">
        <w:rPr>
          <w:rFonts w:eastAsia="Times New Roman"/>
          <w:szCs w:val="24"/>
        </w:rPr>
        <w:t>3-300.</w:t>
      </w:r>
    </w:p>
    <w:p w:rsidR="005C2920" w:rsidRDefault="005C2920" w:rsidP="004A651E">
      <w:pPr>
        <w:spacing w:line="480" w:lineRule="auto"/>
        <w:ind w:right="-144" w:firstLine="720"/>
        <w:rPr>
          <w:rFonts w:eastAsia="Times New Roman"/>
          <w:szCs w:val="24"/>
        </w:rPr>
      </w:pPr>
    </w:p>
    <w:p w:rsidR="005C2920" w:rsidRDefault="005C2920" w:rsidP="004A651E">
      <w:pPr>
        <w:spacing w:line="480" w:lineRule="auto"/>
        <w:ind w:right="-144" w:firstLine="720"/>
        <w:rPr>
          <w:rFonts w:eastAsia="Times New Roman"/>
          <w:szCs w:val="24"/>
        </w:rPr>
      </w:pPr>
    </w:p>
    <w:p w:rsidR="00807EF9" w:rsidRPr="00807EF9" w:rsidRDefault="00807EF9" w:rsidP="0066327B">
      <w:pPr>
        <w:spacing w:line="480" w:lineRule="auto"/>
        <w:ind w:firstLine="720"/>
        <w:rPr>
          <w:rFonts w:eastAsia="Times New Roman"/>
          <w:b/>
          <w:szCs w:val="24"/>
        </w:rPr>
      </w:pPr>
      <w:r w:rsidRPr="00807EF9">
        <w:rPr>
          <w:rFonts w:eastAsia="Times New Roman"/>
          <w:b/>
          <w:szCs w:val="24"/>
        </w:rPr>
        <w:lastRenderedPageBreak/>
        <w:t>3</w:t>
      </w:r>
      <w:r w:rsidR="00F7197C">
        <w:rPr>
          <w:rFonts w:eastAsia="Times New Roman"/>
          <w:b/>
          <w:szCs w:val="24"/>
        </w:rPr>
        <w:t xml:space="preserve">.  </w:t>
      </w:r>
      <w:proofErr w:type="spellStart"/>
      <w:r w:rsidR="00F7197C">
        <w:rPr>
          <w:rFonts w:eastAsia="Times New Roman"/>
          <w:b/>
          <w:szCs w:val="24"/>
        </w:rPr>
        <w:t>Lingwood</w:t>
      </w:r>
      <w:proofErr w:type="spellEnd"/>
      <w:r w:rsidR="00F7197C">
        <w:rPr>
          <w:rFonts w:eastAsia="Times New Roman"/>
          <w:b/>
          <w:szCs w:val="24"/>
        </w:rPr>
        <w:t xml:space="preserve"> violated rule 3-300</w:t>
      </w:r>
    </w:p>
    <w:p w:rsidR="0066327B" w:rsidRPr="00EC6000" w:rsidRDefault="0066327B" w:rsidP="0066327B">
      <w:pPr>
        <w:spacing w:line="480" w:lineRule="auto"/>
        <w:ind w:firstLine="720"/>
        <w:rPr>
          <w:rFonts w:eastAsia="Times New Roman"/>
          <w:szCs w:val="24"/>
          <w:u w:val="single"/>
        </w:rPr>
      </w:pPr>
      <w:proofErr w:type="spellStart"/>
      <w:r>
        <w:rPr>
          <w:rFonts w:eastAsia="Times New Roman"/>
          <w:szCs w:val="24"/>
        </w:rPr>
        <w:t>Lingwood</w:t>
      </w:r>
      <w:proofErr w:type="spellEnd"/>
      <w:r>
        <w:rPr>
          <w:rFonts w:eastAsia="Times New Roman"/>
          <w:szCs w:val="24"/>
        </w:rPr>
        <w:t xml:space="preserve"> </w:t>
      </w:r>
      <w:r w:rsidR="0060799F">
        <w:rPr>
          <w:rFonts w:eastAsia="Times New Roman"/>
          <w:szCs w:val="24"/>
        </w:rPr>
        <w:t>agreed</w:t>
      </w:r>
      <w:r>
        <w:rPr>
          <w:rFonts w:eastAsia="Times New Roman"/>
          <w:szCs w:val="24"/>
        </w:rPr>
        <w:t xml:space="preserve"> at trial that she did not provide a writing</w:t>
      </w:r>
      <w:r w:rsidR="00807EF9">
        <w:rPr>
          <w:rFonts w:eastAsia="Times New Roman"/>
          <w:szCs w:val="24"/>
        </w:rPr>
        <w:t xml:space="preserve"> to the beneficiaries</w:t>
      </w:r>
      <w:r>
        <w:rPr>
          <w:rFonts w:eastAsia="Times New Roman"/>
          <w:szCs w:val="24"/>
        </w:rPr>
        <w:t xml:space="preserve"> describing t</w:t>
      </w:r>
      <w:r w:rsidR="00CF757C">
        <w:rPr>
          <w:rFonts w:eastAsia="Times New Roman"/>
          <w:szCs w:val="24"/>
        </w:rPr>
        <w:t>he terms</w:t>
      </w:r>
      <w:r w:rsidR="003523B9">
        <w:rPr>
          <w:rFonts w:eastAsia="Times New Roman"/>
          <w:szCs w:val="24"/>
        </w:rPr>
        <w:t>,</w:t>
      </w:r>
      <w:r w:rsidR="00CF757C">
        <w:rPr>
          <w:rFonts w:eastAsia="Times New Roman"/>
          <w:szCs w:val="24"/>
        </w:rPr>
        <w:t xml:space="preserve"> as required under rule </w:t>
      </w:r>
      <w:r>
        <w:rPr>
          <w:rFonts w:eastAsia="Times New Roman"/>
          <w:szCs w:val="24"/>
        </w:rPr>
        <w:t xml:space="preserve">3-300.  Further, </w:t>
      </w:r>
      <w:r w:rsidR="00222A38">
        <w:rPr>
          <w:rFonts w:eastAsia="Times New Roman"/>
          <w:szCs w:val="24"/>
        </w:rPr>
        <w:t>she</w:t>
      </w:r>
      <w:r>
        <w:rPr>
          <w:rFonts w:eastAsia="Times New Roman"/>
          <w:szCs w:val="24"/>
        </w:rPr>
        <w:t xml:space="preserve"> did not tell </w:t>
      </w:r>
      <w:r w:rsidR="008629FF">
        <w:rPr>
          <w:rFonts w:eastAsia="Times New Roman"/>
          <w:szCs w:val="24"/>
        </w:rPr>
        <w:t>the beneficiaries</w:t>
      </w:r>
      <w:r>
        <w:rPr>
          <w:rFonts w:eastAsia="Times New Roman"/>
          <w:szCs w:val="24"/>
        </w:rPr>
        <w:t xml:space="preserve"> that they could seek the advice of an independent attorney, nor did they consent in writing to the terms of the loan.  Accordingly, we find </w:t>
      </w:r>
      <w:proofErr w:type="spellStart"/>
      <w:r>
        <w:rPr>
          <w:rFonts w:eastAsia="Times New Roman"/>
          <w:szCs w:val="24"/>
        </w:rPr>
        <w:t>Lingwood</w:t>
      </w:r>
      <w:proofErr w:type="spellEnd"/>
      <w:r>
        <w:rPr>
          <w:rFonts w:eastAsia="Times New Roman"/>
          <w:szCs w:val="24"/>
        </w:rPr>
        <w:t xml:space="preserve"> culpable under count three.</w:t>
      </w:r>
      <w:r>
        <w:rPr>
          <w:rStyle w:val="FootnoteReference"/>
          <w:rFonts w:eastAsia="Times New Roman"/>
          <w:szCs w:val="24"/>
        </w:rPr>
        <w:footnoteReference w:id="11"/>
      </w:r>
    </w:p>
    <w:p w:rsidR="000801F7" w:rsidRDefault="00150503" w:rsidP="00682BFA">
      <w:pPr>
        <w:spacing w:line="480" w:lineRule="auto"/>
        <w:rPr>
          <w:b/>
        </w:rPr>
      </w:pPr>
      <w:r>
        <w:rPr>
          <w:b/>
        </w:rPr>
        <w:t>B</w:t>
      </w:r>
      <w:r w:rsidR="000801F7" w:rsidRPr="00DF4DC8">
        <w:rPr>
          <w:b/>
        </w:rPr>
        <w:t>.</w:t>
      </w:r>
      <w:r w:rsidR="000801F7" w:rsidRPr="00DF4DC8">
        <w:rPr>
          <w:b/>
        </w:rPr>
        <w:tab/>
        <w:t xml:space="preserve">Count </w:t>
      </w:r>
      <w:r w:rsidR="005552DC">
        <w:rPr>
          <w:b/>
        </w:rPr>
        <w:t>Two</w:t>
      </w:r>
      <w:r w:rsidR="000801F7" w:rsidRPr="00DF4DC8">
        <w:rPr>
          <w:b/>
        </w:rPr>
        <w:t xml:space="preserve">: </w:t>
      </w:r>
      <w:r w:rsidR="00F70F7B">
        <w:rPr>
          <w:b/>
        </w:rPr>
        <w:t xml:space="preserve">Failure to Comply with Laws (§ 6068, </w:t>
      </w:r>
      <w:proofErr w:type="spellStart"/>
      <w:r w:rsidR="00F70F7B">
        <w:rPr>
          <w:b/>
        </w:rPr>
        <w:t>subd</w:t>
      </w:r>
      <w:proofErr w:type="spellEnd"/>
      <w:r w:rsidR="00F70F7B">
        <w:rPr>
          <w:b/>
        </w:rPr>
        <w:t>.</w:t>
      </w:r>
      <w:r w:rsidR="002942A7">
        <w:rPr>
          <w:b/>
        </w:rPr>
        <w:t xml:space="preserve"> </w:t>
      </w:r>
      <w:r w:rsidR="00F70F7B">
        <w:rPr>
          <w:b/>
        </w:rPr>
        <w:t>(a)</w:t>
      </w:r>
      <w:r w:rsidR="000801F7">
        <w:rPr>
          <w:b/>
        </w:rPr>
        <w:t>)</w:t>
      </w:r>
      <w:r w:rsidR="006E4B94">
        <w:rPr>
          <w:rStyle w:val="FootnoteReference"/>
          <w:b/>
        </w:rPr>
        <w:footnoteReference w:id="12"/>
      </w:r>
    </w:p>
    <w:p w:rsidR="006C671A" w:rsidRDefault="00BB5A33" w:rsidP="006C671A">
      <w:pPr>
        <w:spacing w:line="480" w:lineRule="auto"/>
        <w:ind w:firstLine="720"/>
      </w:pPr>
      <w:r>
        <w:t xml:space="preserve">In </w:t>
      </w:r>
      <w:r w:rsidR="00CF757C">
        <w:t>c</w:t>
      </w:r>
      <w:r>
        <w:t xml:space="preserve">ount two, </w:t>
      </w:r>
      <w:r w:rsidR="004E585D">
        <w:t>OCTC alleged</w:t>
      </w:r>
      <w:r w:rsidR="00BC239B">
        <w:t xml:space="preserve"> that </w:t>
      </w:r>
      <w:proofErr w:type="spellStart"/>
      <w:r w:rsidR="00BC239B">
        <w:t>Lingwood</w:t>
      </w:r>
      <w:proofErr w:type="spellEnd"/>
      <w:r w:rsidR="00BC239B">
        <w:t xml:space="preserve"> violat</w:t>
      </w:r>
      <w:r w:rsidR="00CF757C">
        <w:t>ed</w:t>
      </w:r>
      <w:r w:rsidR="00B65085">
        <w:t xml:space="preserve"> the laws of California, including but not limited to</w:t>
      </w:r>
      <w:r w:rsidR="00CF757C">
        <w:t xml:space="preserve"> Probate Code sections </w:t>
      </w:r>
      <w:r w:rsidR="00C72347">
        <w:t>16002 and</w:t>
      </w:r>
      <w:r w:rsidR="00A16C70">
        <w:t xml:space="preserve"> </w:t>
      </w:r>
      <w:r w:rsidR="00C72347">
        <w:t>16004</w:t>
      </w:r>
      <w:r w:rsidR="00B65085">
        <w:t>,</w:t>
      </w:r>
      <w:r w:rsidR="00C72347">
        <w:t xml:space="preserve"> </w:t>
      </w:r>
      <w:r w:rsidR="00BC239B">
        <w:t xml:space="preserve">when she withdrew $60,000 from the Trust </w:t>
      </w:r>
      <w:r w:rsidR="00CC4BAE">
        <w:t xml:space="preserve">bank </w:t>
      </w:r>
      <w:r w:rsidR="00BC239B">
        <w:t>account without permission from Bob, Belinda, or Gerald and deposited it into her own account without informing them a</w:t>
      </w:r>
      <w:r w:rsidR="00265642">
        <w:t>nd contrary to their interests.</w:t>
      </w:r>
      <w:r w:rsidR="00C72347">
        <w:rPr>
          <w:rStyle w:val="FootnoteReference"/>
        </w:rPr>
        <w:footnoteReference w:id="13"/>
      </w:r>
      <w:r w:rsidR="00A779D6">
        <w:t xml:space="preserve">  </w:t>
      </w:r>
      <w:r w:rsidR="006C671A">
        <w:t>The hearing judge found</w:t>
      </w:r>
      <w:r w:rsidR="00CF757C">
        <w:t xml:space="preserve"> that </w:t>
      </w:r>
      <w:proofErr w:type="spellStart"/>
      <w:r w:rsidR="00CF757C">
        <w:t>Lingwood</w:t>
      </w:r>
      <w:proofErr w:type="spellEnd"/>
      <w:r w:rsidR="00CF757C">
        <w:t xml:space="preserve"> violated section 6068, subdivision </w:t>
      </w:r>
      <w:r w:rsidR="006C671A">
        <w:t>(a)</w:t>
      </w:r>
      <w:r w:rsidR="00CF757C">
        <w:t>,</w:t>
      </w:r>
      <w:r w:rsidR="006C671A">
        <w:t xml:space="preserve"> because </w:t>
      </w:r>
      <w:r w:rsidR="003523B9">
        <w:t>she</w:t>
      </w:r>
      <w:r w:rsidR="006C671A">
        <w:t xml:space="preserve"> was self-dealing as the trustee.  </w:t>
      </w:r>
      <w:r w:rsidR="00B2698F">
        <w:t xml:space="preserve">The judge dismissed count two with prejudice as duplicative of count three.  </w:t>
      </w:r>
      <w:r w:rsidR="006C671A" w:rsidRPr="009E62B9">
        <w:t>We find culp</w:t>
      </w:r>
      <w:r w:rsidR="004273BF">
        <w:t xml:space="preserve">ability under count two, </w:t>
      </w:r>
      <w:r w:rsidR="006C671A" w:rsidRPr="009E62B9">
        <w:t>disagree with th</w:t>
      </w:r>
      <w:r w:rsidR="004273BF">
        <w:t xml:space="preserve">e judge’s reasoning, </w:t>
      </w:r>
      <w:r w:rsidR="00B2698F">
        <w:t xml:space="preserve">and decline to dismiss </w:t>
      </w:r>
      <w:r w:rsidR="002B1A81">
        <w:t>this count</w:t>
      </w:r>
      <w:r w:rsidR="00B2698F">
        <w:t>.</w:t>
      </w:r>
    </w:p>
    <w:p w:rsidR="004A7CBE" w:rsidRDefault="00CF757C" w:rsidP="00F7197C">
      <w:pPr>
        <w:spacing w:line="480" w:lineRule="auto"/>
        <w:ind w:firstLine="720"/>
      </w:pPr>
      <w:r>
        <w:t>Probate Code sections </w:t>
      </w:r>
      <w:r w:rsidR="00A779D6">
        <w:t xml:space="preserve">16002 and 16004 </w:t>
      </w:r>
      <w:r w:rsidR="00917910">
        <w:t>pertain to</w:t>
      </w:r>
      <w:r w:rsidR="00265642">
        <w:t xml:space="preserve"> trust administration and the duties of trustees.</w:t>
      </w:r>
      <w:r w:rsidR="003512B9">
        <w:t xml:space="preserve">  </w:t>
      </w:r>
      <w:r w:rsidR="00A1368B">
        <w:t>As a fiduciary, a trustee has a duty “to act with the utmost good faith.”  (</w:t>
      </w:r>
      <w:r w:rsidR="00A1368B" w:rsidRPr="00CF319D">
        <w:rPr>
          <w:i/>
        </w:rPr>
        <w:t xml:space="preserve">Hearst v. </w:t>
      </w:r>
      <w:proofErr w:type="spellStart"/>
      <w:r w:rsidR="00A1368B" w:rsidRPr="00CF319D">
        <w:rPr>
          <w:i/>
        </w:rPr>
        <w:t>Ganzi</w:t>
      </w:r>
      <w:proofErr w:type="spellEnd"/>
      <w:r w:rsidR="00A1368B">
        <w:t xml:space="preserve"> (2006) 145</w:t>
      </w:r>
      <w:r>
        <w:t> </w:t>
      </w:r>
      <w:r w:rsidR="00A1368B">
        <w:t xml:space="preserve">Cal.App.4th 1195, 1208.)  Trustees are required to administer the trust according to the terms of the trust, and with reasonable care, skill, and caution as </w:t>
      </w:r>
      <w:r w:rsidR="00376BFD">
        <w:t xml:space="preserve">would </w:t>
      </w:r>
      <w:r w:rsidR="00A1368B">
        <w:t xml:space="preserve">a </w:t>
      </w:r>
      <w:r w:rsidR="00A1368B">
        <w:lastRenderedPageBreak/>
        <w:t xml:space="preserve">prudent person acting in similar </w:t>
      </w:r>
      <w:r w:rsidR="00E44F4A">
        <w:t xml:space="preserve">circumstances.  (Prob. Code, §§ 16000, 16040, </w:t>
      </w:r>
      <w:proofErr w:type="spellStart"/>
      <w:r w:rsidR="00E44F4A">
        <w:t>subd</w:t>
      </w:r>
      <w:proofErr w:type="spellEnd"/>
      <w:r w:rsidR="00E44F4A">
        <w:t>. </w:t>
      </w:r>
      <w:r w:rsidR="00A1368B">
        <w:t>(a).)</w:t>
      </w:r>
      <w:r w:rsidR="00454573">
        <w:t xml:space="preserve">  Under </w:t>
      </w:r>
      <w:r w:rsidR="003512B9">
        <w:t xml:space="preserve">Probate </w:t>
      </w:r>
      <w:r w:rsidR="00454573">
        <w:t xml:space="preserve">Code </w:t>
      </w:r>
      <w:r w:rsidR="00E44F4A">
        <w:t>section </w:t>
      </w:r>
      <w:r w:rsidR="003512B9">
        <w:t>16002</w:t>
      </w:r>
      <w:r w:rsidR="00454573">
        <w:t>,</w:t>
      </w:r>
      <w:r w:rsidR="003512B9">
        <w:t xml:space="preserve"> </w:t>
      </w:r>
      <w:r w:rsidR="007769B1">
        <w:t>subdivision </w:t>
      </w:r>
      <w:r w:rsidR="004273BF">
        <w:t xml:space="preserve">(a), </w:t>
      </w:r>
      <w:r w:rsidR="003512B9">
        <w:t>trustees must “administer the trust solely in the interest of the benefi</w:t>
      </w:r>
      <w:r w:rsidR="00E44F4A">
        <w:t>ciaries.”  Probate Code section </w:t>
      </w:r>
      <w:r w:rsidR="004273BF">
        <w:t>16004, subdivision</w:t>
      </w:r>
      <w:r w:rsidR="007769B1">
        <w:t> </w:t>
      </w:r>
      <w:r w:rsidR="004273BF">
        <w:t xml:space="preserve">(a), </w:t>
      </w:r>
      <w:r w:rsidR="003512B9">
        <w:t>provides that a trustee will not “use or deal with trust property for the trustee’s own profit or for any other purpose unco</w:t>
      </w:r>
      <w:r w:rsidR="006E4B94">
        <w:t xml:space="preserve">nnected with the trust . . . .”  </w:t>
      </w:r>
      <w:r w:rsidR="000A0178">
        <w:t xml:space="preserve">Notably, </w:t>
      </w:r>
      <w:r w:rsidR="00E44F4A">
        <w:t>Probate Code sections </w:t>
      </w:r>
      <w:r w:rsidR="00D5256E">
        <w:t>16002 and 16004 do no</w:t>
      </w:r>
      <w:r w:rsidR="00B47935">
        <w:t>t</w:t>
      </w:r>
      <w:r w:rsidR="00D5256E">
        <w:t xml:space="preserve"> override the provisions of the trust instrument itself.  These sections must be read in conjun</w:t>
      </w:r>
      <w:r w:rsidR="00E44F4A">
        <w:t>ction with Probate Code section </w:t>
      </w:r>
      <w:r w:rsidR="00D5256E">
        <w:t xml:space="preserve">16000, which provides that, “the trustee has a duty to administer the trust according to the trust instrument and, </w:t>
      </w:r>
      <w:r w:rsidR="00D5256E" w:rsidRPr="00D5256E">
        <w:rPr>
          <w:i/>
        </w:rPr>
        <w:t>except to the extent the trust instrument provides otherwise</w:t>
      </w:r>
      <w:r w:rsidR="00D5256E">
        <w:t>, according to this division.”  (Italic</w:t>
      </w:r>
      <w:r w:rsidR="00D33905">
        <w:t xml:space="preserve">s added.)  </w:t>
      </w:r>
    </w:p>
    <w:p w:rsidR="002B1A81" w:rsidRPr="002B1A81" w:rsidRDefault="002B1A81" w:rsidP="002B1A81">
      <w:pPr>
        <w:spacing w:line="480" w:lineRule="auto"/>
        <w:ind w:firstLine="720"/>
        <w:rPr>
          <w:b/>
        </w:rPr>
      </w:pPr>
      <w:r w:rsidRPr="002B1A81">
        <w:rPr>
          <w:b/>
        </w:rPr>
        <w:t>1.  The Trust permitted</w:t>
      </w:r>
      <w:r w:rsidR="00F7197C">
        <w:rPr>
          <w:b/>
        </w:rPr>
        <w:t xml:space="preserve"> “self-dealing” by the trustee</w:t>
      </w:r>
    </w:p>
    <w:p w:rsidR="00193534" w:rsidRDefault="006E7EAE" w:rsidP="00886FB3">
      <w:pPr>
        <w:spacing w:line="480" w:lineRule="auto"/>
        <w:ind w:firstLine="720"/>
      </w:pPr>
      <w:r>
        <w:t xml:space="preserve">The Trust contained a </w:t>
      </w:r>
      <w:r w:rsidR="002B1A81">
        <w:t>“</w:t>
      </w:r>
      <w:r>
        <w:t>self-dealing</w:t>
      </w:r>
      <w:r w:rsidR="002B1A81">
        <w:t>”</w:t>
      </w:r>
      <w:r>
        <w:t xml:space="preserve"> clause giving the trustee the power “[</w:t>
      </w:r>
      <w:proofErr w:type="spellStart"/>
      <w:r>
        <w:t>i</w:t>
      </w:r>
      <w:proofErr w:type="spellEnd"/>
      <w:r>
        <w:t xml:space="preserve">]n buying and selling assets, in lending and borrowing money, and in all other transactions, irrespective of the occupancy by the same person of dual positions, to deal with itself in its separate, or any fiduciary capacity.”  </w:t>
      </w:r>
      <w:r w:rsidR="00AC7E3E">
        <w:t>The Trust also provided that the trustee could invest any part of the Trust estate in any property, whether secured or unsecured,</w:t>
      </w:r>
      <w:r w:rsidR="00AC3447">
        <w:t xml:space="preserve"> or any real estate, whether or not productive at the time of investment,</w:t>
      </w:r>
      <w:r w:rsidR="00AC7E3E">
        <w:t xml:space="preserve"> “without being limited by any statute or rule of law concerning investments by fiduciaries.”</w:t>
      </w:r>
      <w:r w:rsidR="004A7CBE">
        <w:t xml:space="preserve">  </w:t>
      </w:r>
      <w:r w:rsidR="00AC3447">
        <w:t xml:space="preserve">Further, </w:t>
      </w:r>
      <w:r w:rsidR="000D6D67">
        <w:t>t</w:t>
      </w:r>
      <w:r w:rsidR="00130D10">
        <w:t xml:space="preserve">he Trust </w:t>
      </w:r>
      <w:r w:rsidR="00AC3447">
        <w:t>conferred upon the trustee</w:t>
      </w:r>
      <w:r w:rsidR="00980B22">
        <w:t xml:space="preserve"> the broadest management powers, providing in part that the trustee could “exercise all powers in the management of the Trust Estate which any individual could exercise in his or her own right, upon such terms and conditions as it may reasonably deem best . . . .”  </w:t>
      </w:r>
      <w:r w:rsidR="004A7CBE">
        <w:t xml:space="preserve">As such, under the terms of the Trust, </w:t>
      </w:r>
      <w:r w:rsidR="00867ACA">
        <w:t>the trustee</w:t>
      </w:r>
      <w:r w:rsidR="004A7CBE">
        <w:t xml:space="preserve"> had the ability to do business with the Trust as long as she did not act in bad faith or in disregard of the purposes of the </w:t>
      </w:r>
      <w:r w:rsidR="00895445">
        <w:t>T</w:t>
      </w:r>
      <w:r w:rsidR="004A7CBE">
        <w:t xml:space="preserve">rust.  </w:t>
      </w:r>
      <w:proofErr w:type="spellStart"/>
      <w:r w:rsidR="004A7CBE">
        <w:t>Lingwood</w:t>
      </w:r>
      <w:proofErr w:type="spellEnd"/>
      <w:r w:rsidR="004A7CBE">
        <w:t xml:space="preserve"> loaned money to herself from t</w:t>
      </w:r>
      <w:r w:rsidR="00B81F14">
        <w:t xml:space="preserve">he Trust, but she secured </w:t>
      </w:r>
      <w:r w:rsidR="009E1A1F">
        <w:t>the loan with her</w:t>
      </w:r>
      <w:r w:rsidR="00B81F14">
        <w:t xml:space="preserve"> proper</w:t>
      </w:r>
      <w:r w:rsidR="00E44F4A">
        <w:t>ty and provided for a five </w:t>
      </w:r>
      <w:r w:rsidR="00B81F14">
        <w:t xml:space="preserve">percent interest rate.  </w:t>
      </w:r>
      <w:proofErr w:type="spellStart"/>
      <w:r w:rsidR="00B81F14">
        <w:t>Lingwood</w:t>
      </w:r>
      <w:proofErr w:type="spellEnd"/>
      <w:r w:rsidR="00B81F14">
        <w:t xml:space="preserve"> made the payments with interest and paid the loan off in its entirety </w:t>
      </w:r>
      <w:r w:rsidR="00E8715D">
        <w:t>after</w:t>
      </w:r>
      <w:r w:rsidR="00B81F14">
        <w:t xml:space="preserve"> she was </w:t>
      </w:r>
      <w:r w:rsidR="00B81F14">
        <w:lastRenderedPageBreak/>
        <w:t>asked to</w:t>
      </w:r>
      <w:r w:rsidR="009F4EA1">
        <w:t xml:space="preserve"> do so</w:t>
      </w:r>
      <w:r w:rsidR="00B81F14">
        <w:t xml:space="preserve"> by Belinda.  </w:t>
      </w:r>
      <w:r w:rsidR="009F4EA1">
        <w:t>As such, we reject the hearing judge’s culpabili</w:t>
      </w:r>
      <w:r w:rsidR="003C0242">
        <w:t>ty analysis because there is no</w:t>
      </w:r>
      <w:r w:rsidR="009F4EA1">
        <w:t xml:space="preserve"> c</w:t>
      </w:r>
      <w:r w:rsidR="00B81F14">
        <w:t xml:space="preserve">lear and convincing evidence </w:t>
      </w:r>
      <w:r w:rsidR="009F4EA1">
        <w:t>showing</w:t>
      </w:r>
      <w:r w:rsidR="00DC6638">
        <w:t xml:space="preserve"> </w:t>
      </w:r>
      <w:r w:rsidR="00B81F14">
        <w:t xml:space="preserve">improper self-dealing by </w:t>
      </w:r>
      <w:proofErr w:type="spellStart"/>
      <w:r w:rsidR="00B81F14">
        <w:t>Lingwood</w:t>
      </w:r>
      <w:proofErr w:type="spellEnd"/>
      <w:r w:rsidR="00E8715D">
        <w:t xml:space="preserve"> in light of the Trust’s explicit self-dealing clause</w:t>
      </w:r>
      <w:r w:rsidR="00886FB3">
        <w:t xml:space="preserve"> and </w:t>
      </w:r>
      <w:proofErr w:type="spellStart"/>
      <w:r w:rsidR="00886FB3">
        <w:t>Lingwood’s</w:t>
      </w:r>
      <w:proofErr w:type="spellEnd"/>
      <w:r w:rsidR="00886FB3">
        <w:t xml:space="preserve"> handling of the loan</w:t>
      </w:r>
      <w:r w:rsidR="00DC6638">
        <w:t>.</w:t>
      </w:r>
    </w:p>
    <w:p w:rsidR="00100CB9" w:rsidRPr="0046581A" w:rsidRDefault="00100CB9" w:rsidP="00886FB3">
      <w:pPr>
        <w:spacing w:line="480" w:lineRule="auto"/>
        <w:ind w:firstLine="720"/>
        <w:rPr>
          <w:b/>
        </w:rPr>
      </w:pPr>
      <w:r w:rsidRPr="0046581A">
        <w:rPr>
          <w:b/>
        </w:rPr>
        <w:t xml:space="preserve">2.  </w:t>
      </w:r>
      <w:proofErr w:type="spellStart"/>
      <w:r w:rsidRPr="0046581A">
        <w:rPr>
          <w:b/>
        </w:rPr>
        <w:t>Lingwood’</w:t>
      </w:r>
      <w:r w:rsidR="0046581A" w:rsidRPr="0046581A">
        <w:rPr>
          <w:b/>
        </w:rPr>
        <w:t>s</w:t>
      </w:r>
      <w:proofErr w:type="spellEnd"/>
      <w:r w:rsidR="0046581A" w:rsidRPr="0046581A">
        <w:rPr>
          <w:b/>
        </w:rPr>
        <w:t xml:space="preserve"> fiduciary duties included complying with rule 3-300</w:t>
      </w:r>
    </w:p>
    <w:p w:rsidR="005C683C" w:rsidRDefault="00E44F4A" w:rsidP="006F7EA1">
      <w:pPr>
        <w:spacing w:line="480" w:lineRule="auto"/>
        <w:ind w:right="-144" w:firstLine="720"/>
      </w:pPr>
      <w:r>
        <w:t>Probate Code section </w:t>
      </w:r>
      <w:r w:rsidR="00193534">
        <w:t>16004 applies to the fiduciary relationship between attorney and client and is a “statutory complement to</w:t>
      </w:r>
      <w:r>
        <w:t xml:space="preserve"> rule </w:t>
      </w:r>
      <w:r w:rsidR="00193534">
        <w:t>3-300.”</w:t>
      </w:r>
      <w:r w:rsidR="00003A2F">
        <w:rPr>
          <w:rStyle w:val="FootnoteReference"/>
        </w:rPr>
        <w:footnoteReference w:id="14"/>
      </w:r>
      <w:r w:rsidR="00021186">
        <w:t xml:space="preserve">  (</w:t>
      </w:r>
      <w:r w:rsidR="00021186" w:rsidRPr="00021186">
        <w:rPr>
          <w:i/>
        </w:rPr>
        <w:t xml:space="preserve">Fair v. </w:t>
      </w:r>
      <w:proofErr w:type="spellStart"/>
      <w:r w:rsidR="00021186" w:rsidRPr="00021186">
        <w:rPr>
          <w:i/>
        </w:rPr>
        <w:t>Bakhtiari</w:t>
      </w:r>
      <w:proofErr w:type="spellEnd"/>
      <w:r>
        <w:t xml:space="preserve"> (2011) 195 </w:t>
      </w:r>
      <w:r w:rsidR="00021186">
        <w:t>Cal.App.4th 1135, 1152.)</w:t>
      </w:r>
      <w:r w:rsidR="000C5F0E">
        <w:t xml:space="preserve">  </w:t>
      </w:r>
      <w:r w:rsidR="009E1A1F">
        <w:t>Probate Code section</w:t>
      </w:r>
      <w:r>
        <w:t> </w:t>
      </w:r>
      <w:r w:rsidR="009E1A1F">
        <w:t>16004, s</w:t>
      </w:r>
      <w:r w:rsidR="000C5F0E">
        <w:t>ubdivisi</w:t>
      </w:r>
      <w:r w:rsidR="009E1A1F">
        <w:t>on</w:t>
      </w:r>
      <w:r>
        <w:t> </w:t>
      </w:r>
      <w:r w:rsidR="009E1A1F">
        <w:t>(c)</w:t>
      </w:r>
      <w:r>
        <w:t>,</w:t>
      </w:r>
      <w:r w:rsidR="000C5F0E">
        <w:t xml:space="preserve"> provides </w:t>
      </w:r>
      <w:r w:rsidR="008F0903">
        <w:t>a rebuttable presumption that a trustee has violated her fiduciary duties when a transaction occurs between the trustee and a beneficiary and the trustee obtains an advantage from the beneficiary.</w:t>
      </w:r>
      <w:r w:rsidR="000638BE">
        <w:t xml:space="preserve">  </w:t>
      </w:r>
      <w:r w:rsidR="00B47935">
        <w:t>W</w:t>
      </w:r>
      <w:r w:rsidR="000638BE">
        <w:t xml:space="preserve">hen an attorney trustee enters into a transaction with a trust, </w:t>
      </w:r>
      <w:r w:rsidR="00886FB3">
        <w:t>the</w:t>
      </w:r>
      <w:r w:rsidR="000638BE">
        <w:t xml:space="preserve"> transaction will be scrutinized by the courts </w:t>
      </w:r>
      <w:r w:rsidR="004F7E87">
        <w:t>due to the</w:t>
      </w:r>
      <w:r w:rsidR="000638BE">
        <w:t xml:space="preserve"> fiduciary </w:t>
      </w:r>
      <w:r w:rsidR="004F7E87">
        <w:t>relationship between the attorney trustee and the beneficiaries.  (</w:t>
      </w:r>
      <w:r w:rsidR="004F7E87" w:rsidRPr="00021186">
        <w:rPr>
          <w:i/>
        </w:rPr>
        <w:t xml:space="preserve">Fair v. </w:t>
      </w:r>
      <w:proofErr w:type="spellStart"/>
      <w:r w:rsidR="004F7E87" w:rsidRPr="00021186">
        <w:rPr>
          <w:i/>
        </w:rPr>
        <w:t>Bakhtiari</w:t>
      </w:r>
      <w:proofErr w:type="spellEnd"/>
      <w:r w:rsidR="004F7E87">
        <w:t xml:space="preserve">, </w:t>
      </w:r>
      <w:r w:rsidR="004F7E87" w:rsidRPr="004F7E87">
        <w:rPr>
          <w:i/>
        </w:rPr>
        <w:t>supra</w:t>
      </w:r>
      <w:r w:rsidR="00710F2A">
        <w:t>, 195 </w:t>
      </w:r>
      <w:r w:rsidR="004F7E87">
        <w:t>Cal.App.4th at p.</w:t>
      </w:r>
      <w:r w:rsidR="00710F2A">
        <w:t> </w:t>
      </w:r>
      <w:r w:rsidR="004F7E87">
        <w:t xml:space="preserve">1152.)  Such a transaction will be set aside unless the attorney can show that the beneficiaries </w:t>
      </w:r>
      <w:r w:rsidR="005C683C">
        <w:t xml:space="preserve">had full knowledge of the facts connected with the transaction and fully understood </w:t>
      </w:r>
      <w:r w:rsidR="00C22560">
        <w:t>its</w:t>
      </w:r>
      <w:r w:rsidR="005C683C">
        <w:t xml:space="preserve"> effect.</w:t>
      </w:r>
      <w:r w:rsidR="00665B08">
        <w:t xml:space="preserve">  (</w:t>
      </w:r>
      <w:r w:rsidR="00665B08" w:rsidRPr="00665B08">
        <w:rPr>
          <w:i/>
        </w:rPr>
        <w:t>Id.</w:t>
      </w:r>
      <w:r w:rsidR="00710F2A">
        <w:t xml:space="preserve"> at p. </w:t>
      </w:r>
      <w:r w:rsidR="00D850F8">
        <w:t xml:space="preserve">1155 [attorney must show that client was fully advised and </w:t>
      </w:r>
      <w:r w:rsidR="00F2293E">
        <w:t>transaction was fair to rebut</w:t>
      </w:r>
      <w:r w:rsidR="00D850F8">
        <w:t xml:space="preserve"> presumption of undue influ</w:t>
      </w:r>
      <w:r w:rsidR="00EF3931">
        <w:t xml:space="preserve">ence under Probate Code </w:t>
      </w:r>
      <w:r w:rsidR="006F7EA1">
        <w:t>§</w:t>
      </w:r>
      <w:r w:rsidR="00EF3931">
        <w:t> </w:t>
      </w:r>
      <w:r w:rsidR="00D850F8">
        <w:t>16004].</w:t>
      </w:r>
      <w:r w:rsidR="00665B08">
        <w:t>)</w:t>
      </w:r>
    </w:p>
    <w:p w:rsidR="0070219A" w:rsidRPr="0070219A" w:rsidRDefault="0070219A" w:rsidP="00D33905">
      <w:pPr>
        <w:spacing w:line="480" w:lineRule="auto"/>
        <w:ind w:firstLine="720"/>
        <w:rPr>
          <w:b/>
        </w:rPr>
      </w:pPr>
      <w:r w:rsidRPr="0070219A">
        <w:rPr>
          <w:b/>
        </w:rPr>
        <w:t xml:space="preserve">3.  </w:t>
      </w:r>
      <w:proofErr w:type="spellStart"/>
      <w:r w:rsidRPr="0070219A">
        <w:rPr>
          <w:b/>
        </w:rPr>
        <w:t>Lingwood</w:t>
      </w:r>
      <w:proofErr w:type="spellEnd"/>
      <w:r w:rsidRPr="0070219A">
        <w:rPr>
          <w:b/>
        </w:rPr>
        <w:t xml:space="preserve"> violated her fiduciar</w:t>
      </w:r>
      <w:r w:rsidR="00EF3931">
        <w:rPr>
          <w:b/>
        </w:rPr>
        <w:t>y duties under Probate Code</w:t>
      </w:r>
    </w:p>
    <w:p w:rsidR="005C683C" w:rsidRDefault="005C683C" w:rsidP="006F7EA1">
      <w:pPr>
        <w:spacing w:line="480" w:lineRule="auto"/>
        <w:ind w:right="-144" w:firstLine="720"/>
      </w:pPr>
      <w:proofErr w:type="spellStart"/>
      <w:r>
        <w:t>Lingwood</w:t>
      </w:r>
      <w:proofErr w:type="spellEnd"/>
      <w:r>
        <w:t xml:space="preserve"> </w:t>
      </w:r>
      <w:r w:rsidR="009E1A1F">
        <w:t>gained</w:t>
      </w:r>
      <w:r>
        <w:t xml:space="preserve"> an advantage from the transaction in that she </w:t>
      </w:r>
      <w:r w:rsidR="009F4EA1">
        <w:t>obtained a loan of</w:t>
      </w:r>
      <w:r>
        <w:t xml:space="preserve"> $60,000, improving her financial position and allowing her to make personal expenditures.  Further, </w:t>
      </w:r>
      <w:r w:rsidR="00895445">
        <w:t>she</w:t>
      </w:r>
      <w:r>
        <w:t xml:space="preserve"> did not</w:t>
      </w:r>
      <w:r w:rsidR="00FB031A">
        <w:t xml:space="preserve"> fully</w:t>
      </w:r>
      <w:r>
        <w:t xml:space="preserve"> inform the beneficiaries </w:t>
      </w:r>
      <w:r w:rsidR="00FB031A">
        <w:t>of the terms or the risks of the transaction</w:t>
      </w:r>
      <w:r w:rsidR="00895445">
        <w:t>,</w:t>
      </w:r>
      <w:r w:rsidR="00665B08">
        <w:t xml:space="preserve"> as demonstrated by her failure to s</w:t>
      </w:r>
      <w:r w:rsidR="00710F2A">
        <w:t>atisfy the requirements of rule </w:t>
      </w:r>
      <w:r w:rsidR="00665B08">
        <w:t>3-300</w:t>
      </w:r>
      <w:r w:rsidR="00FB031A">
        <w:t xml:space="preserve">.  Accordingly, the loan was </w:t>
      </w:r>
      <w:r w:rsidR="00150818">
        <w:t>made</w:t>
      </w:r>
      <w:r w:rsidR="00FB031A">
        <w:t xml:space="preserve"> in violation of </w:t>
      </w:r>
      <w:proofErr w:type="spellStart"/>
      <w:r w:rsidR="00FB031A">
        <w:t>Lingwood’s</w:t>
      </w:r>
      <w:proofErr w:type="spellEnd"/>
      <w:r w:rsidR="00FB031A">
        <w:t xml:space="preserve"> du</w:t>
      </w:r>
      <w:r w:rsidR="00710F2A">
        <w:t>ties under Probate Code section </w:t>
      </w:r>
      <w:r w:rsidR="00FB031A">
        <w:t xml:space="preserve">16004.  (See </w:t>
      </w:r>
      <w:r w:rsidR="00FB031A" w:rsidRPr="00FB031A">
        <w:rPr>
          <w:i/>
        </w:rPr>
        <w:t>BGJ Associates v. Wilson</w:t>
      </w:r>
      <w:r w:rsidR="00FB031A">
        <w:t xml:space="preserve"> (20</w:t>
      </w:r>
      <w:r w:rsidR="00710F2A">
        <w:t>03) 113 </w:t>
      </w:r>
      <w:r w:rsidR="00E13AFA">
        <w:t xml:space="preserve">Cal.App.4th 1217, 1229 </w:t>
      </w:r>
      <w:r w:rsidR="00710F2A">
        <w:t>[attorney violated Prob. Code § </w:t>
      </w:r>
      <w:r w:rsidR="00E13AFA">
        <w:t xml:space="preserve">16004 when he did not advise clients </w:t>
      </w:r>
      <w:r w:rsidR="00E13AFA">
        <w:lastRenderedPageBreak/>
        <w:t>of all terms and perils associated with transaction with attorney].)</w:t>
      </w:r>
      <w:r w:rsidR="009E62B9">
        <w:t xml:space="preserve">  </w:t>
      </w:r>
      <w:proofErr w:type="spellStart"/>
      <w:r w:rsidR="009E62B9">
        <w:t>Lingwood’s</w:t>
      </w:r>
      <w:proofErr w:type="spellEnd"/>
      <w:r w:rsidR="009E62B9">
        <w:t xml:space="preserve"> breach of her fiduciary duties by failing to provide</w:t>
      </w:r>
      <w:r w:rsidR="007B3AD2">
        <w:t xml:space="preserve"> notice and</w:t>
      </w:r>
      <w:r w:rsidR="009E62B9">
        <w:t xml:space="preserve"> full information to the beneficiaries </w:t>
      </w:r>
      <w:r w:rsidR="007B3AD2">
        <w:t>regarding</w:t>
      </w:r>
      <w:r w:rsidR="009E62B9">
        <w:t xml:space="preserve"> the loan establish</w:t>
      </w:r>
      <w:r w:rsidR="00E20172">
        <w:t>es</w:t>
      </w:r>
      <w:r w:rsidR="009E62B9">
        <w:t xml:space="preserve"> her culpability under count two.</w:t>
      </w:r>
    </w:p>
    <w:p w:rsidR="00292148" w:rsidRDefault="009E62B9" w:rsidP="00A7319E">
      <w:pPr>
        <w:spacing w:line="480" w:lineRule="auto"/>
        <w:ind w:right="-144" w:firstLine="720"/>
        <w:rPr>
          <w:szCs w:val="24"/>
        </w:rPr>
      </w:pPr>
      <w:r>
        <w:t xml:space="preserve">We find that the misconduct underlying </w:t>
      </w:r>
      <w:proofErr w:type="spellStart"/>
      <w:r>
        <w:t>Lingwood’s</w:t>
      </w:r>
      <w:proofErr w:type="spellEnd"/>
      <w:r>
        <w:t xml:space="preserve"> violation under </w:t>
      </w:r>
      <w:r w:rsidR="00A32E69">
        <w:t>count two is the same as</w:t>
      </w:r>
      <w:r w:rsidR="00710F2A">
        <w:t xml:space="preserve"> under count three for the rule </w:t>
      </w:r>
      <w:r w:rsidR="00A32E69">
        <w:t>3-300 violation.  However, we do not dismiss count two with prejudice</w:t>
      </w:r>
      <w:r w:rsidR="00A61C86">
        <w:t>,</w:t>
      </w:r>
      <w:r w:rsidR="00A32E69">
        <w:t xml:space="preserve"> as the hearing judge did when she determine</w:t>
      </w:r>
      <w:r w:rsidR="007B3AD2">
        <w:t>d</w:t>
      </w:r>
      <w:r w:rsidR="00A32E69">
        <w:t xml:space="preserve"> the counts were duplicative.  We agree with OCTC that the better approach is to find both violations, but assign no additional weight for discipline purposes.</w:t>
      </w:r>
      <w:r w:rsidR="00066817">
        <w:t xml:space="preserve">  (See </w:t>
      </w:r>
      <w:r w:rsidR="00066817">
        <w:rPr>
          <w:i/>
          <w:szCs w:val="24"/>
        </w:rPr>
        <w:t>In the Matter of Moriarty</w:t>
      </w:r>
      <w:r w:rsidR="00066817">
        <w:rPr>
          <w:szCs w:val="24"/>
        </w:rPr>
        <w:t xml:space="preserve"> (Review Dept. 2017) 5 Cal. State Bar C</w:t>
      </w:r>
      <w:r w:rsidR="00710F2A">
        <w:rPr>
          <w:szCs w:val="24"/>
        </w:rPr>
        <w:t xml:space="preserve">t. </w:t>
      </w:r>
      <w:proofErr w:type="spellStart"/>
      <w:r w:rsidR="00710F2A">
        <w:rPr>
          <w:szCs w:val="24"/>
        </w:rPr>
        <w:t>Rptr</w:t>
      </w:r>
      <w:proofErr w:type="spellEnd"/>
      <w:r w:rsidR="00710F2A">
        <w:rPr>
          <w:szCs w:val="24"/>
        </w:rPr>
        <w:t xml:space="preserve">. 511 [no dismissal of § 6068, </w:t>
      </w:r>
      <w:proofErr w:type="spellStart"/>
      <w:r w:rsidR="00710F2A">
        <w:rPr>
          <w:szCs w:val="24"/>
        </w:rPr>
        <w:t>subd</w:t>
      </w:r>
      <w:proofErr w:type="spellEnd"/>
      <w:r w:rsidR="00710F2A">
        <w:rPr>
          <w:szCs w:val="24"/>
        </w:rPr>
        <w:t>. </w:t>
      </w:r>
      <w:r w:rsidR="00066817">
        <w:rPr>
          <w:szCs w:val="24"/>
        </w:rPr>
        <w:t>(d)</w:t>
      </w:r>
      <w:r w:rsidR="006F7EA1">
        <w:rPr>
          <w:szCs w:val="24"/>
        </w:rPr>
        <w:t>,</w:t>
      </w:r>
      <w:r w:rsidR="005E442E">
        <w:rPr>
          <w:szCs w:val="24"/>
        </w:rPr>
        <w:t xml:space="preserve"> </w:t>
      </w:r>
      <w:r w:rsidR="00066817">
        <w:rPr>
          <w:szCs w:val="24"/>
        </w:rPr>
        <w:t>charge where same misconduct proved culpability for violation of §</w:t>
      </w:r>
      <w:r w:rsidR="00710F2A">
        <w:rPr>
          <w:szCs w:val="24"/>
        </w:rPr>
        <w:t> </w:t>
      </w:r>
      <w:r w:rsidR="00066817">
        <w:rPr>
          <w:szCs w:val="24"/>
        </w:rPr>
        <w:t xml:space="preserve">6106].)  </w:t>
      </w:r>
      <w:proofErr w:type="spellStart"/>
      <w:r w:rsidR="00066817">
        <w:rPr>
          <w:szCs w:val="24"/>
        </w:rPr>
        <w:t>Lingwood</w:t>
      </w:r>
      <w:proofErr w:type="spellEnd"/>
      <w:r w:rsidR="00066817">
        <w:rPr>
          <w:szCs w:val="24"/>
        </w:rPr>
        <w:t xml:space="preserve"> is not prejudiced </w:t>
      </w:r>
      <w:r w:rsidR="00895445">
        <w:rPr>
          <w:szCs w:val="24"/>
        </w:rPr>
        <w:t>since</w:t>
      </w:r>
      <w:r w:rsidR="00066817">
        <w:rPr>
          <w:szCs w:val="24"/>
        </w:rPr>
        <w:t xml:space="preserve"> we do not consider the duplic</w:t>
      </w:r>
      <w:r w:rsidR="00710F2A">
        <w:rPr>
          <w:szCs w:val="24"/>
        </w:rPr>
        <w:t>ative section 6068, subdivision </w:t>
      </w:r>
      <w:r w:rsidR="00066817">
        <w:rPr>
          <w:szCs w:val="24"/>
        </w:rPr>
        <w:t>(a)</w:t>
      </w:r>
      <w:r w:rsidR="00710F2A">
        <w:rPr>
          <w:szCs w:val="24"/>
        </w:rPr>
        <w:t>,</w:t>
      </w:r>
      <w:r w:rsidR="00066817">
        <w:rPr>
          <w:szCs w:val="24"/>
        </w:rPr>
        <w:t xml:space="preserve"> </w:t>
      </w:r>
      <w:r w:rsidR="00A7319E">
        <w:rPr>
          <w:szCs w:val="24"/>
        </w:rPr>
        <w:t xml:space="preserve">violation </w:t>
      </w:r>
      <w:r w:rsidR="00056A8C">
        <w:rPr>
          <w:szCs w:val="24"/>
        </w:rPr>
        <w:t>as additional weight</w:t>
      </w:r>
      <w:r w:rsidR="006366BB">
        <w:rPr>
          <w:szCs w:val="24"/>
        </w:rPr>
        <w:t xml:space="preserve"> in determining discipline.</w:t>
      </w:r>
    </w:p>
    <w:p w:rsidR="00956546" w:rsidRPr="00DF4DC8" w:rsidRDefault="007B3AD2" w:rsidP="00956546">
      <w:pPr>
        <w:spacing w:line="480" w:lineRule="auto"/>
        <w:rPr>
          <w:b/>
        </w:rPr>
      </w:pPr>
      <w:r>
        <w:rPr>
          <w:b/>
        </w:rPr>
        <w:t>C</w:t>
      </w:r>
      <w:r w:rsidR="00956546" w:rsidRPr="00DF4DC8">
        <w:rPr>
          <w:b/>
        </w:rPr>
        <w:t>.</w:t>
      </w:r>
      <w:r w:rsidR="00956546" w:rsidRPr="00DF4DC8">
        <w:rPr>
          <w:b/>
        </w:rPr>
        <w:tab/>
        <w:t xml:space="preserve">Count </w:t>
      </w:r>
      <w:r w:rsidR="00956546">
        <w:rPr>
          <w:b/>
        </w:rPr>
        <w:t>One</w:t>
      </w:r>
      <w:r w:rsidR="00956546" w:rsidRPr="00DF4DC8">
        <w:rPr>
          <w:b/>
        </w:rPr>
        <w:t xml:space="preserve">: </w:t>
      </w:r>
      <w:r w:rsidR="00956546">
        <w:rPr>
          <w:b/>
        </w:rPr>
        <w:t>Moral Turpitude—Misappropriation (§ 6106)</w:t>
      </w:r>
    </w:p>
    <w:p w:rsidR="00956546" w:rsidRDefault="004E585D" w:rsidP="00956546">
      <w:pPr>
        <w:spacing w:line="480" w:lineRule="auto"/>
        <w:ind w:firstLine="720"/>
        <w:rPr>
          <w:szCs w:val="24"/>
        </w:rPr>
      </w:pPr>
      <w:r>
        <w:rPr>
          <w:rFonts w:eastAsia="Times New Roman"/>
          <w:szCs w:val="24"/>
        </w:rPr>
        <w:t>In count one, OCTC alleged</w:t>
      </w:r>
      <w:r w:rsidR="00956546">
        <w:rPr>
          <w:rFonts w:eastAsia="Times New Roman"/>
          <w:szCs w:val="24"/>
        </w:rPr>
        <w:t xml:space="preserve"> that </w:t>
      </w:r>
      <w:proofErr w:type="spellStart"/>
      <w:r w:rsidR="00956546">
        <w:rPr>
          <w:rFonts w:eastAsia="Times New Roman"/>
          <w:szCs w:val="24"/>
        </w:rPr>
        <w:t>Lingwood</w:t>
      </w:r>
      <w:proofErr w:type="spellEnd"/>
      <w:r w:rsidR="00956546">
        <w:rPr>
          <w:rFonts w:eastAsia="Times New Roman"/>
          <w:szCs w:val="24"/>
        </w:rPr>
        <w:t xml:space="preserve"> violated section</w:t>
      </w:r>
      <w:r w:rsidR="009E1641">
        <w:rPr>
          <w:rFonts w:eastAsia="Times New Roman"/>
          <w:szCs w:val="24"/>
        </w:rPr>
        <w:t> </w:t>
      </w:r>
      <w:r w:rsidR="00956546">
        <w:rPr>
          <w:rFonts w:eastAsia="Times New Roman"/>
          <w:szCs w:val="24"/>
        </w:rPr>
        <w:t>6106 when she withdrew $60,000 from the Trust bank account without the permission of Bob, Belin</w:t>
      </w:r>
      <w:r>
        <w:rPr>
          <w:rFonts w:eastAsia="Times New Roman"/>
          <w:szCs w:val="24"/>
        </w:rPr>
        <w:t>da, and Gerald.  The NDC alleged</w:t>
      </w:r>
      <w:r w:rsidR="00956546">
        <w:rPr>
          <w:rFonts w:eastAsia="Times New Roman"/>
          <w:szCs w:val="24"/>
        </w:rPr>
        <w:t xml:space="preserve"> that </w:t>
      </w:r>
      <w:proofErr w:type="spellStart"/>
      <w:r w:rsidR="00956546">
        <w:rPr>
          <w:rFonts w:eastAsia="Times New Roman"/>
          <w:szCs w:val="24"/>
        </w:rPr>
        <w:t>Lingwood</w:t>
      </w:r>
      <w:proofErr w:type="spellEnd"/>
      <w:r w:rsidR="00956546">
        <w:rPr>
          <w:rFonts w:eastAsia="Times New Roman"/>
          <w:szCs w:val="24"/>
        </w:rPr>
        <w:t xml:space="preserve"> deposited the $60,000 into her own account for her own use and benefit.  </w:t>
      </w:r>
      <w:r w:rsidR="00956546">
        <w:rPr>
          <w:szCs w:val="24"/>
        </w:rPr>
        <w:t>Section 6106 states,</w:t>
      </w:r>
      <w:r w:rsidR="00956546" w:rsidRPr="001240D4">
        <w:rPr>
          <w:szCs w:val="24"/>
        </w:rPr>
        <w:t xml:space="preserve"> “The commission of any act involving moral turpitude, dishonesty or corruption, whether the act is committed in the course of his relations as an attorney or otherwise, and whether the act is a felony or misdemeanor or not, constitutes a cause for disb</w:t>
      </w:r>
      <w:r w:rsidR="00956546">
        <w:rPr>
          <w:szCs w:val="24"/>
        </w:rPr>
        <w:t xml:space="preserve">arment or suspension.”  The hearing judge found </w:t>
      </w:r>
      <w:proofErr w:type="spellStart"/>
      <w:r w:rsidR="00956546">
        <w:rPr>
          <w:szCs w:val="24"/>
        </w:rPr>
        <w:t>Lingwood</w:t>
      </w:r>
      <w:proofErr w:type="spellEnd"/>
      <w:r w:rsidR="00956546">
        <w:rPr>
          <w:szCs w:val="24"/>
        </w:rPr>
        <w:t xml:space="preserve"> culpable of the misconduct alleged in count one.  The judge reasoned that </w:t>
      </w:r>
      <w:proofErr w:type="spellStart"/>
      <w:r w:rsidR="00956546">
        <w:rPr>
          <w:szCs w:val="24"/>
        </w:rPr>
        <w:t>Lingwood</w:t>
      </w:r>
      <w:proofErr w:type="spellEnd"/>
      <w:r w:rsidR="00956546">
        <w:rPr>
          <w:szCs w:val="24"/>
        </w:rPr>
        <w:t xml:space="preserve"> misappropriated the $60,000 because she knew she was required to seek permission to withdraw </w:t>
      </w:r>
      <w:r w:rsidR="00895445">
        <w:rPr>
          <w:szCs w:val="24"/>
        </w:rPr>
        <w:t>it</w:t>
      </w:r>
      <w:r w:rsidR="00956546">
        <w:rPr>
          <w:szCs w:val="24"/>
        </w:rPr>
        <w:t xml:space="preserve">, knew she did not have authorization to </w:t>
      </w:r>
      <w:r w:rsidR="00895445">
        <w:rPr>
          <w:szCs w:val="24"/>
        </w:rPr>
        <w:t>do so</w:t>
      </w:r>
      <w:r w:rsidR="00956546">
        <w:rPr>
          <w:szCs w:val="24"/>
        </w:rPr>
        <w:t>, and used the money for personal expenses.</w:t>
      </w:r>
      <w:r w:rsidR="008E2454">
        <w:rPr>
          <w:szCs w:val="24"/>
        </w:rPr>
        <w:t xml:space="preserve">  We disagree.</w:t>
      </w:r>
    </w:p>
    <w:p w:rsidR="009624B5" w:rsidRDefault="00F600CA" w:rsidP="00633857">
      <w:pPr>
        <w:spacing w:line="480" w:lineRule="auto"/>
        <w:ind w:firstLine="720"/>
        <w:rPr>
          <w:szCs w:val="24"/>
        </w:rPr>
      </w:pPr>
      <w:proofErr w:type="spellStart"/>
      <w:r>
        <w:rPr>
          <w:szCs w:val="24"/>
        </w:rPr>
        <w:t>Lingwood</w:t>
      </w:r>
      <w:proofErr w:type="spellEnd"/>
      <w:r>
        <w:rPr>
          <w:szCs w:val="24"/>
        </w:rPr>
        <w:t xml:space="preserve"> </w:t>
      </w:r>
      <w:r w:rsidR="00295665">
        <w:rPr>
          <w:szCs w:val="24"/>
        </w:rPr>
        <w:t>correctly thought</w:t>
      </w:r>
      <w:r>
        <w:rPr>
          <w:szCs w:val="24"/>
        </w:rPr>
        <w:t xml:space="preserve"> that the Trust gave her the authority to make the loan.  She</w:t>
      </w:r>
      <w:r w:rsidR="00956546">
        <w:rPr>
          <w:szCs w:val="24"/>
        </w:rPr>
        <w:t xml:space="preserve"> testified that she </w:t>
      </w:r>
      <w:r w:rsidR="00633857">
        <w:rPr>
          <w:szCs w:val="24"/>
        </w:rPr>
        <w:t>thought</w:t>
      </w:r>
      <w:r w:rsidR="00956546">
        <w:rPr>
          <w:szCs w:val="24"/>
        </w:rPr>
        <w:t xml:space="preserve"> she had authority to take the $60,000 as a loan even though she did not </w:t>
      </w:r>
      <w:r w:rsidR="00956546">
        <w:rPr>
          <w:szCs w:val="24"/>
        </w:rPr>
        <w:lastRenderedPageBreak/>
        <w:t>have consent from anyone to do so.</w:t>
      </w:r>
      <w:r w:rsidR="00956546">
        <w:rPr>
          <w:rStyle w:val="FootnoteReference"/>
          <w:szCs w:val="24"/>
        </w:rPr>
        <w:footnoteReference w:id="15"/>
      </w:r>
      <w:r w:rsidR="00956546">
        <w:rPr>
          <w:szCs w:val="24"/>
        </w:rPr>
        <w:t xml:space="preserve">  And in her March 2016 email to Belinda, she stated that she “checked on the legality of this type of loan to a Trustee and per the Trust . . . a loan can be made and there is no breach of fiduciary duty as long as you would agree this to be a prudent investment.”  </w:t>
      </w:r>
      <w:r w:rsidR="00956546" w:rsidRPr="000C3BC3">
        <w:rPr>
          <w:szCs w:val="24"/>
        </w:rPr>
        <w:t xml:space="preserve">After receiving </w:t>
      </w:r>
      <w:r w:rsidR="00895445">
        <w:rPr>
          <w:szCs w:val="24"/>
        </w:rPr>
        <w:t>no</w:t>
      </w:r>
      <w:r w:rsidR="00956546" w:rsidRPr="000C3BC3">
        <w:rPr>
          <w:szCs w:val="24"/>
        </w:rPr>
        <w:t xml:space="preserve"> response from Belinda, </w:t>
      </w:r>
      <w:r w:rsidR="009E1641">
        <w:rPr>
          <w:szCs w:val="24"/>
        </w:rPr>
        <w:t>on April </w:t>
      </w:r>
      <w:r w:rsidR="000D6D67">
        <w:rPr>
          <w:szCs w:val="24"/>
        </w:rPr>
        <w:t>1,</w:t>
      </w:r>
      <w:r w:rsidR="00A7319E">
        <w:rPr>
          <w:szCs w:val="24"/>
        </w:rPr>
        <w:t xml:space="preserve"> </w:t>
      </w:r>
      <w:proofErr w:type="spellStart"/>
      <w:r w:rsidR="00A7319E">
        <w:rPr>
          <w:szCs w:val="24"/>
        </w:rPr>
        <w:t>Lingwood</w:t>
      </w:r>
      <w:proofErr w:type="spellEnd"/>
      <w:r w:rsidR="005E442E">
        <w:rPr>
          <w:szCs w:val="24"/>
        </w:rPr>
        <w:t xml:space="preserve"> executed a $60,000 </w:t>
      </w:r>
      <w:r w:rsidR="000D6D67">
        <w:rPr>
          <w:szCs w:val="24"/>
        </w:rPr>
        <w:t>note payable to the Trust.  She secured the note through a deed of trust on her condominium in late Apr</w:t>
      </w:r>
      <w:r w:rsidR="009E1641">
        <w:rPr>
          <w:szCs w:val="24"/>
        </w:rPr>
        <w:t>il—all before receiving the May </w:t>
      </w:r>
      <w:r w:rsidR="000D6D67">
        <w:rPr>
          <w:szCs w:val="24"/>
        </w:rPr>
        <w:t xml:space="preserve">2 email from Belinda disagreeing with </w:t>
      </w:r>
      <w:r w:rsidR="00633857">
        <w:rPr>
          <w:szCs w:val="24"/>
        </w:rPr>
        <w:t>her</w:t>
      </w:r>
      <w:r w:rsidR="000D6D67">
        <w:rPr>
          <w:szCs w:val="24"/>
        </w:rPr>
        <w:t xml:space="preserve"> loan proposal.  The Sacramento County</w:t>
      </w:r>
      <w:r w:rsidR="009E1641">
        <w:rPr>
          <w:szCs w:val="24"/>
        </w:rPr>
        <w:t xml:space="preserve"> Clerk recorded the deed on May </w:t>
      </w:r>
      <w:r w:rsidR="000D6D67">
        <w:rPr>
          <w:szCs w:val="24"/>
        </w:rPr>
        <w:t xml:space="preserve">4.  </w:t>
      </w:r>
      <w:proofErr w:type="spellStart"/>
      <w:r w:rsidR="00956546" w:rsidRPr="000C3BC3">
        <w:rPr>
          <w:szCs w:val="24"/>
        </w:rPr>
        <w:t>Lingwood</w:t>
      </w:r>
      <w:proofErr w:type="spellEnd"/>
      <w:r w:rsidR="00956546" w:rsidRPr="000C3BC3">
        <w:rPr>
          <w:szCs w:val="24"/>
        </w:rPr>
        <w:t xml:space="preserve"> withdrew the $60,000</w:t>
      </w:r>
      <w:r w:rsidR="006162A1">
        <w:rPr>
          <w:szCs w:val="24"/>
        </w:rPr>
        <w:t xml:space="preserve"> from the Trust bank account</w:t>
      </w:r>
      <w:r w:rsidR="00AD0CF4">
        <w:rPr>
          <w:szCs w:val="24"/>
        </w:rPr>
        <w:t xml:space="preserve"> in two installments</w:t>
      </w:r>
      <w:r w:rsidR="009E1641">
        <w:rPr>
          <w:szCs w:val="24"/>
        </w:rPr>
        <w:t xml:space="preserve"> on April 1 and April </w:t>
      </w:r>
      <w:r w:rsidR="000D6D67">
        <w:rPr>
          <w:szCs w:val="24"/>
        </w:rPr>
        <w:t>26</w:t>
      </w:r>
      <w:r w:rsidR="00956546">
        <w:rPr>
          <w:szCs w:val="24"/>
        </w:rPr>
        <w:t xml:space="preserve">.  </w:t>
      </w:r>
    </w:p>
    <w:p w:rsidR="00956546" w:rsidRDefault="00956546" w:rsidP="006162A1">
      <w:pPr>
        <w:spacing w:line="480" w:lineRule="auto"/>
        <w:ind w:firstLine="720"/>
        <w:rPr>
          <w:szCs w:val="24"/>
        </w:rPr>
      </w:pPr>
      <w:proofErr w:type="spellStart"/>
      <w:r>
        <w:rPr>
          <w:szCs w:val="24"/>
        </w:rPr>
        <w:t>Lingwood’s</w:t>
      </w:r>
      <w:proofErr w:type="spellEnd"/>
      <w:r>
        <w:rPr>
          <w:szCs w:val="24"/>
        </w:rPr>
        <w:t xml:space="preserve"> actions are consistent with her belief that she had the authority to take the loan</w:t>
      </w:r>
      <w:r w:rsidR="00E0491D">
        <w:rPr>
          <w:szCs w:val="24"/>
        </w:rPr>
        <w:t xml:space="preserve"> and inconsistent with the notion that she intended to act </w:t>
      </w:r>
      <w:r w:rsidR="0087609D">
        <w:rPr>
          <w:szCs w:val="24"/>
        </w:rPr>
        <w:t>with moral turpitude, dishonest</w:t>
      </w:r>
      <w:r w:rsidR="00E0491D">
        <w:rPr>
          <w:szCs w:val="24"/>
        </w:rPr>
        <w:t>y, or a corrupt motive</w:t>
      </w:r>
      <w:r>
        <w:rPr>
          <w:szCs w:val="24"/>
        </w:rPr>
        <w:t>.</w:t>
      </w:r>
      <w:r w:rsidR="00E0491D">
        <w:rPr>
          <w:szCs w:val="24"/>
        </w:rPr>
        <w:t xml:space="preserve">  Further, a finding that she </w:t>
      </w:r>
      <w:r w:rsidR="00157AB3">
        <w:rPr>
          <w:szCs w:val="24"/>
        </w:rPr>
        <w:t>planned</w:t>
      </w:r>
      <w:r w:rsidR="00E0491D">
        <w:rPr>
          <w:szCs w:val="24"/>
        </w:rPr>
        <w:t xml:space="preserve"> to misappropriate the funds is incompatible with our finding that she intended to enter into a loan transaction.</w:t>
      </w:r>
    </w:p>
    <w:p w:rsidR="00956546" w:rsidRDefault="00E0491D" w:rsidP="00BB5A33">
      <w:pPr>
        <w:spacing w:line="480" w:lineRule="auto"/>
        <w:ind w:firstLine="720"/>
        <w:rPr>
          <w:szCs w:val="24"/>
        </w:rPr>
      </w:pPr>
      <w:r>
        <w:rPr>
          <w:szCs w:val="24"/>
        </w:rPr>
        <w:t>N</w:t>
      </w:r>
      <w:r w:rsidR="00956546">
        <w:rPr>
          <w:szCs w:val="24"/>
        </w:rPr>
        <w:t xml:space="preserve">o facts show that </w:t>
      </w:r>
      <w:proofErr w:type="spellStart"/>
      <w:r w:rsidR="00956546">
        <w:rPr>
          <w:szCs w:val="24"/>
        </w:rPr>
        <w:t>Lingwood</w:t>
      </w:r>
      <w:proofErr w:type="spellEnd"/>
      <w:r w:rsidR="00956546">
        <w:rPr>
          <w:szCs w:val="24"/>
        </w:rPr>
        <w:t xml:space="preserve"> </w:t>
      </w:r>
      <w:r w:rsidR="00956546" w:rsidRPr="000C3BC3">
        <w:rPr>
          <w:szCs w:val="24"/>
        </w:rPr>
        <w:t xml:space="preserve">misappropriated the money in such a way </w:t>
      </w:r>
      <w:r w:rsidR="00157AB3">
        <w:rPr>
          <w:szCs w:val="24"/>
        </w:rPr>
        <w:t xml:space="preserve">as </w:t>
      </w:r>
      <w:r w:rsidR="00956546" w:rsidRPr="000C3BC3">
        <w:rPr>
          <w:szCs w:val="24"/>
        </w:rPr>
        <w:t>to violate section</w:t>
      </w:r>
      <w:r w:rsidR="009E1641">
        <w:rPr>
          <w:szCs w:val="24"/>
        </w:rPr>
        <w:t> </w:t>
      </w:r>
      <w:r w:rsidR="00956546" w:rsidRPr="000C3BC3">
        <w:rPr>
          <w:szCs w:val="24"/>
        </w:rPr>
        <w:t>6106</w:t>
      </w:r>
      <w:r w:rsidR="00956546">
        <w:rPr>
          <w:szCs w:val="24"/>
        </w:rPr>
        <w:t>.  Therefore, we dismiss count one with prejudice.</w:t>
      </w:r>
      <w:r w:rsidR="00573B4C">
        <w:rPr>
          <w:szCs w:val="24"/>
        </w:rPr>
        <w:t xml:space="preserve">  (</w:t>
      </w:r>
      <w:r w:rsidR="00573B4C">
        <w:rPr>
          <w:i/>
          <w:szCs w:val="24"/>
        </w:rPr>
        <w:t xml:space="preserve">In the Matter of </w:t>
      </w:r>
      <w:proofErr w:type="spellStart"/>
      <w:r w:rsidR="00573B4C">
        <w:rPr>
          <w:i/>
          <w:szCs w:val="24"/>
        </w:rPr>
        <w:t>Kroff</w:t>
      </w:r>
      <w:proofErr w:type="spellEnd"/>
      <w:r w:rsidR="00EA109C">
        <w:rPr>
          <w:szCs w:val="24"/>
        </w:rPr>
        <w:t xml:space="preserve"> (Review Dept. 1998) 3 </w:t>
      </w:r>
      <w:r w:rsidR="00573B4C">
        <w:rPr>
          <w:szCs w:val="24"/>
        </w:rPr>
        <w:t xml:space="preserve">Cal. State Bar Ct. </w:t>
      </w:r>
      <w:proofErr w:type="spellStart"/>
      <w:r w:rsidR="00573B4C">
        <w:rPr>
          <w:szCs w:val="24"/>
        </w:rPr>
        <w:t>Rptr</w:t>
      </w:r>
      <w:proofErr w:type="spellEnd"/>
      <w:r w:rsidR="00573B4C">
        <w:rPr>
          <w:szCs w:val="24"/>
        </w:rPr>
        <w:t>. 838, 839 [dismissal of charges for want of proof after trial on merits is with prejudice].)</w:t>
      </w:r>
    </w:p>
    <w:p w:rsidR="005C2920" w:rsidRDefault="005C2920" w:rsidP="00BB5A33">
      <w:pPr>
        <w:spacing w:line="480" w:lineRule="auto"/>
        <w:ind w:firstLine="720"/>
        <w:rPr>
          <w:szCs w:val="24"/>
        </w:rPr>
      </w:pPr>
    </w:p>
    <w:p w:rsidR="005C2920" w:rsidRDefault="005C2920" w:rsidP="00BB5A33">
      <w:pPr>
        <w:spacing w:line="480" w:lineRule="auto"/>
        <w:ind w:firstLine="720"/>
        <w:rPr>
          <w:szCs w:val="24"/>
        </w:rPr>
      </w:pPr>
    </w:p>
    <w:p w:rsidR="005C2920" w:rsidRDefault="005C2920" w:rsidP="00BB5A33">
      <w:pPr>
        <w:spacing w:line="480" w:lineRule="auto"/>
        <w:ind w:firstLine="720"/>
        <w:rPr>
          <w:szCs w:val="24"/>
        </w:rPr>
      </w:pPr>
    </w:p>
    <w:p w:rsidR="005C2920" w:rsidRDefault="005C2920" w:rsidP="00BB5A33">
      <w:pPr>
        <w:spacing w:line="480" w:lineRule="auto"/>
        <w:ind w:firstLine="720"/>
        <w:rPr>
          <w:szCs w:val="24"/>
        </w:rPr>
      </w:pPr>
    </w:p>
    <w:p w:rsidR="00F70F7B" w:rsidRDefault="003639BB" w:rsidP="003639BB">
      <w:pPr>
        <w:spacing w:line="480" w:lineRule="auto"/>
      </w:pPr>
      <w:r>
        <w:rPr>
          <w:b/>
        </w:rPr>
        <w:lastRenderedPageBreak/>
        <w:t>D</w:t>
      </w:r>
      <w:r w:rsidRPr="00DF4DC8">
        <w:rPr>
          <w:b/>
        </w:rPr>
        <w:t>.</w:t>
      </w:r>
      <w:r w:rsidRPr="00DF4DC8">
        <w:rPr>
          <w:b/>
        </w:rPr>
        <w:tab/>
        <w:t xml:space="preserve">Count </w:t>
      </w:r>
      <w:r>
        <w:rPr>
          <w:b/>
        </w:rPr>
        <w:t>Four</w:t>
      </w:r>
      <w:r w:rsidRPr="00DF4DC8">
        <w:rPr>
          <w:b/>
        </w:rPr>
        <w:t xml:space="preserve">: </w:t>
      </w:r>
      <w:r>
        <w:rPr>
          <w:b/>
        </w:rPr>
        <w:t>Moral Turpitude—Misrep</w:t>
      </w:r>
      <w:r w:rsidR="005E442E">
        <w:rPr>
          <w:b/>
        </w:rPr>
        <w:t>resentation (</w:t>
      </w:r>
      <w:r>
        <w:rPr>
          <w:b/>
        </w:rPr>
        <w:t>§ 6106)</w:t>
      </w:r>
    </w:p>
    <w:p w:rsidR="00F70F7B" w:rsidRDefault="009E1641" w:rsidP="003825A5">
      <w:pPr>
        <w:spacing w:line="480" w:lineRule="auto"/>
        <w:ind w:firstLine="720"/>
      </w:pPr>
      <w:r>
        <w:t>Count f</w:t>
      </w:r>
      <w:r w:rsidR="004E585D">
        <w:t>our of the NDC alleged</w:t>
      </w:r>
      <w:r w:rsidR="006C004C">
        <w:t xml:space="preserve"> that </w:t>
      </w:r>
      <w:proofErr w:type="spellStart"/>
      <w:r w:rsidR="006C004C">
        <w:t>Lingwood</w:t>
      </w:r>
      <w:proofErr w:type="spellEnd"/>
      <w:r w:rsidR="006C004C">
        <w:t xml:space="preserve"> made four representations in a letter to Belinda’s attorney that were fals</w:t>
      </w:r>
      <w:r w:rsidR="00DC4362">
        <w:t xml:space="preserve">e and misleading, constituting </w:t>
      </w:r>
      <w:r w:rsidR="006C004C">
        <w:t>violation</w:t>
      </w:r>
      <w:r w:rsidR="00E0491D">
        <w:t>s</w:t>
      </w:r>
      <w:r>
        <w:t xml:space="preserve"> of section </w:t>
      </w:r>
      <w:r w:rsidR="006C004C">
        <w:t xml:space="preserve">6106.  The statements </w:t>
      </w:r>
      <w:r w:rsidR="00EE3502">
        <w:t xml:space="preserve">alleged in the NDC as misrepresentations </w:t>
      </w:r>
      <w:r w:rsidR="006C004C">
        <w:t>are as follows:</w:t>
      </w:r>
      <w:r w:rsidR="00625595">
        <w:rPr>
          <w:rStyle w:val="FootnoteReference"/>
        </w:rPr>
        <w:footnoteReference w:id="16"/>
      </w:r>
    </w:p>
    <w:p w:rsidR="00671D9A" w:rsidRDefault="005D0496" w:rsidP="00A759F3">
      <w:pPr>
        <w:ind w:left="432" w:right="432"/>
      </w:pPr>
      <w:r>
        <w:t>(1)</w:t>
      </w:r>
      <w:r w:rsidR="009E1641">
        <w:t> </w:t>
      </w:r>
      <w:r w:rsidR="00FC4F92">
        <w:t>“The loan request was never for a personal loan.”</w:t>
      </w:r>
      <w:r>
        <w:t xml:space="preserve"> </w:t>
      </w:r>
    </w:p>
    <w:p w:rsidR="005D0496" w:rsidRDefault="005D0496" w:rsidP="00A759F3">
      <w:pPr>
        <w:ind w:left="432" w:right="432"/>
      </w:pPr>
    </w:p>
    <w:p w:rsidR="00FC4F92" w:rsidRDefault="005D0496" w:rsidP="00A759F3">
      <w:pPr>
        <w:ind w:left="432" w:right="432"/>
      </w:pPr>
      <w:r>
        <w:t>(2)</w:t>
      </w:r>
      <w:r w:rsidR="009E1641">
        <w:t> </w:t>
      </w:r>
      <w:r w:rsidR="00397C82">
        <w:t>“. . . I did not make a loan from any of [Bob’s] personal assets.”</w:t>
      </w:r>
      <w:r>
        <w:t xml:space="preserve"> </w:t>
      </w:r>
    </w:p>
    <w:p w:rsidR="00671D9A" w:rsidRDefault="00671D9A" w:rsidP="00A759F3">
      <w:pPr>
        <w:ind w:left="432" w:right="432"/>
      </w:pPr>
    </w:p>
    <w:p w:rsidR="00397C82" w:rsidRDefault="005D0496" w:rsidP="00A759F3">
      <w:pPr>
        <w:ind w:left="432" w:right="432"/>
      </w:pPr>
      <w:r>
        <w:t>(3)</w:t>
      </w:r>
      <w:r w:rsidR="009E1641">
        <w:t> </w:t>
      </w:r>
      <w:r w:rsidR="00397C82">
        <w:t>“. . . I did make a real estate investment loan from [the Trust] to my trust, executed a note and recorded a deed of trust securing the loan with my personal residence.”</w:t>
      </w:r>
    </w:p>
    <w:p w:rsidR="00671D9A" w:rsidRDefault="00671D9A" w:rsidP="00A759F3">
      <w:pPr>
        <w:ind w:left="432" w:right="432"/>
      </w:pPr>
    </w:p>
    <w:p w:rsidR="00671D9A" w:rsidRDefault="00671D9A" w:rsidP="00671D9A">
      <w:pPr>
        <w:spacing w:line="480" w:lineRule="auto"/>
      </w:pPr>
      <w:r>
        <w:t xml:space="preserve">The hearing judge found that </w:t>
      </w:r>
      <w:r w:rsidR="001A6772">
        <w:t xml:space="preserve">these statements </w:t>
      </w:r>
      <w:r>
        <w:t xml:space="preserve">were intentionally false and misleading and </w:t>
      </w:r>
      <w:r w:rsidR="00AC149A">
        <w:t>that</w:t>
      </w:r>
      <w:r>
        <w:t xml:space="preserve"> </w:t>
      </w:r>
      <w:proofErr w:type="spellStart"/>
      <w:r>
        <w:t>Lingwoo</w:t>
      </w:r>
      <w:r w:rsidR="009E1641">
        <w:t>d</w:t>
      </w:r>
      <w:proofErr w:type="spellEnd"/>
      <w:r w:rsidR="009E1641">
        <w:t xml:space="preserve"> </w:t>
      </w:r>
      <w:r w:rsidR="00AC149A">
        <w:t xml:space="preserve">was therefore </w:t>
      </w:r>
      <w:r w:rsidR="009E1641">
        <w:t>culpable of violating section </w:t>
      </w:r>
      <w:r>
        <w:t>6106.</w:t>
      </w:r>
      <w:r w:rsidR="00573B4C">
        <w:t xml:space="preserve">  We disagree.</w:t>
      </w:r>
    </w:p>
    <w:p w:rsidR="00001AA4" w:rsidRPr="00662F4D" w:rsidRDefault="00001AA4" w:rsidP="00001AA4">
      <w:pPr>
        <w:spacing w:line="480" w:lineRule="auto"/>
        <w:ind w:firstLine="720"/>
        <w:rPr>
          <w:szCs w:val="24"/>
        </w:rPr>
      </w:pPr>
      <w:r w:rsidRPr="00D40F7E">
        <w:rPr>
          <w:rFonts w:eastAsia="Times New Roman"/>
          <w:szCs w:val="24"/>
        </w:rPr>
        <w:t xml:space="preserve">Section 6106 applies to misrepresentations and concealment of material facts.  </w:t>
      </w:r>
      <w:r w:rsidRPr="00D40F7E">
        <w:rPr>
          <w:szCs w:val="24"/>
        </w:rPr>
        <w:t>(</w:t>
      </w:r>
      <w:r w:rsidRPr="00D40F7E">
        <w:rPr>
          <w:i/>
          <w:iCs/>
          <w:szCs w:val="24"/>
        </w:rPr>
        <w:t xml:space="preserve">In the Matter of Crane and Depew </w:t>
      </w:r>
      <w:r w:rsidRPr="00D40F7E">
        <w:rPr>
          <w:szCs w:val="24"/>
        </w:rPr>
        <w:t xml:space="preserve">(Review Dept. 1990) 1 Cal. State Bar Ct. </w:t>
      </w:r>
      <w:proofErr w:type="spellStart"/>
      <w:r w:rsidRPr="00D40F7E">
        <w:rPr>
          <w:szCs w:val="24"/>
        </w:rPr>
        <w:t>Rptr</w:t>
      </w:r>
      <w:proofErr w:type="spellEnd"/>
      <w:r w:rsidRPr="00D40F7E">
        <w:rPr>
          <w:szCs w:val="24"/>
        </w:rPr>
        <w:t>. 139, 154</w:t>
      </w:r>
      <w:r w:rsidR="009E1641">
        <w:rPr>
          <w:szCs w:val="24"/>
        </w:rPr>
        <w:t>–</w:t>
      </w:r>
      <w:r w:rsidRPr="00D40F7E">
        <w:rPr>
          <w:szCs w:val="24"/>
        </w:rPr>
        <w:t>155.)  “No distinction can . . . be drawn among concealment, half-truth, and false statement of fact.  [Citation.]”  (</w:t>
      </w:r>
      <w:r>
        <w:rPr>
          <w:i/>
          <w:szCs w:val="24"/>
        </w:rPr>
        <w:t xml:space="preserve">Grove v. State Bar </w:t>
      </w:r>
      <w:r>
        <w:rPr>
          <w:szCs w:val="24"/>
        </w:rPr>
        <w:t>(1965)</w:t>
      </w:r>
      <w:r>
        <w:rPr>
          <w:i/>
          <w:szCs w:val="24"/>
        </w:rPr>
        <w:t xml:space="preserve"> </w:t>
      </w:r>
      <w:r w:rsidR="00FD08CB">
        <w:rPr>
          <w:szCs w:val="24"/>
        </w:rPr>
        <w:t>63 </w:t>
      </w:r>
      <w:r>
        <w:rPr>
          <w:szCs w:val="24"/>
        </w:rPr>
        <w:t>Cal.2d 312, 315, quoted in</w:t>
      </w:r>
      <w:r>
        <w:rPr>
          <w:i/>
          <w:szCs w:val="24"/>
        </w:rPr>
        <w:t xml:space="preserve"> </w:t>
      </w:r>
      <w:r w:rsidRPr="00D40F7E">
        <w:rPr>
          <w:i/>
          <w:iCs/>
          <w:szCs w:val="24"/>
        </w:rPr>
        <w:t xml:space="preserve">In the Matter of Downey </w:t>
      </w:r>
      <w:r w:rsidRPr="00D40F7E">
        <w:rPr>
          <w:szCs w:val="24"/>
        </w:rPr>
        <w:t xml:space="preserve">(Review Dept. 2009) 5 Cal. State Bar Ct. </w:t>
      </w:r>
      <w:proofErr w:type="spellStart"/>
      <w:r w:rsidRPr="00D40F7E">
        <w:rPr>
          <w:szCs w:val="24"/>
        </w:rPr>
        <w:t>Rptr</w:t>
      </w:r>
      <w:proofErr w:type="spellEnd"/>
      <w:r w:rsidRPr="00D40F7E">
        <w:rPr>
          <w:szCs w:val="24"/>
        </w:rPr>
        <w:t xml:space="preserve">. 151, 156.)  </w:t>
      </w:r>
      <w:r w:rsidR="0087609D">
        <w:rPr>
          <w:szCs w:val="24"/>
        </w:rPr>
        <w:t>Mere n</w:t>
      </w:r>
      <w:r w:rsidR="00662F4D">
        <w:rPr>
          <w:szCs w:val="24"/>
        </w:rPr>
        <w:t>egligence in making a representation does not co</w:t>
      </w:r>
      <w:r w:rsidR="00FD08CB">
        <w:rPr>
          <w:szCs w:val="24"/>
        </w:rPr>
        <w:t>nstitute a violation of section </w:t>
      </w:r>
      <w:r w:rsidR="00662F4D">
        <w:rPr>
          <w:szCs w:val="24"/>
        </w:rPr>
        <w:t>6106.  (</w:t>
      </w:r>
      <w:r w:rsidR="00662F4D">
        <w:rPr>
          <w:i/>
          <w:szCs w:val="24"/>
        </w:rPr>
        <w:t>In the Matter of Respondent K</w:t>
      </w:r>
      <w:r w:rsidR="00662F4D">
        <w:rPr>
          <w:szCs w:val="24"/>
        </w:rPr>
        <w:t xml:space="preserve"> (Review Dept. 1993) 2</w:t>
      </w:r>
      <w:r w:rsidR="00FD08CB">
        <w:rPr>
          <w:szCs w:val="24"/>
        </w:rPr>
        <w:t> </w:t>
      </w:r>
      <w:r w:rsidR="00662F4D">
        <w:rPr>
          <w:szCs w:val="24"/>
        </w:rPr>
        <w:t xml:space="preserve">Cal. State Bar Ct. </w:t>
      </w:r>
      <w:proofErr w:type="spellStart"/>
      <w:r w:rsidR="00662F4D">
        <w:rPr>
          <w:szCs w:val="24"/>
        </w:rPr>
        <w:t>Rptr</w:t>
      </w:r>
      <w:proofErr w:type="spellEnd"/>
      <w:r w:rsidR="00662F4D">
        <w:rPr>
          <w:szCs w:val="24"/>
        </w:rPr>
        <w:t>. 335,</w:t>
      </w:r>
      <w:r w:rsidR="00360DE3">
        <w:rPr>
          <w:szCs w:val="24"/>
        </w:rPr>
        <w:t xml:space="preserve"> 353</w:t>
      </w:r>
      <w:r w:rsidR="00662F4D">
        <w:rPr>
          <w:szCs w:val="24"/>
        </w:rPr>
        <w:t>.)</w:t>
      </w:r>
    </w:p>
    <w:p w:rsidR="00A81CE4" w:rsidRDefault="00301005" w:rsidP="00B17188">
      <w:pPr>
        <w:spacing w:line="480" w:lineRule="auto"/>
        <w:ind w:firstLine="720"/>
      </w:pPr>
      <w:r>
        <w:rPr>
          <w:szCs w:val="24"/>
        </w:rPr>
        <w:t>As to the first statement,</w:t>
      </w:r>
      <w:r w:rsidR="00454F60">
        <w:rPr>
          <w:szCs w:val="24"/>
        </w:rPr>
        <w:t xml:space="preserve"> </w:t>
      </w:r>
      <w:proofErr w:type="spellStart"/>
      <w:r w:rsidR="00B17188">
        <w:t>Lingwood</w:t>
      </w:r>
      <w:proofErr w:type="spellEnd"/>
      <w:r w:rsidR="00B17188">
        <w:t xml:space="preserve"> testified at trial that she considered a “personal” loan </w:t>
      </w:r>
      <w:r w:rsidR="002B52EC">
        <w:t>to</w:t>
      </w:r>
      <w:r w:rsidR="00CF2CE1">
        <w:t xml:space="preserve"> be any loan that was unsecured</w:t>
      </w:r>
      <w:r w:rsidR="000732A4">
        <w:t>,</w:t>
      </w:r>
      <w:r w:rsidR="002B52EC">
        <w:t xml:space="preserve"> and</w:t>
      </w:r>
      <w:r w:rsidR="00CF2CE1">
        <w:t xml:space="preserve"> a </w:t>
      </w:r>
      <w:r w:rsidR="000334ED">
        <w:t>loan secured by</w:t>
      </w:r>
      <w:r w:rsidR="00B82A77">
        <w:t xml:space="preserve"> a deed of trust on</w:t>
      </w:r>
      <w:r w:rsidR="000334ED">
        <w:t xml:space="preserve"> real property to be a </w:t>
      </w:r>
      <w:r w:rsidR="002B52EC">
        <w:t>“</w:t>
      </w:r>
      <w:r w:rsidR="000334ED">
        <w:t xml:space="preserve">real </w:t>
      </w:r>
      <w:r w:rsidR="00497A65">
        <w:t xml:space="preserve">estate </w:t>
      </w:r>
      <w:r w:rsidR="00B82A77">
        <w:t>investment</w:t>
      </w:r>
      <w:r w:rsidR="002B52EC">
        <w:t>”</w:t>
      </w:r>
      <w:r w:rsidR="00B82A77">
        <w:t xml:space="preserve"> </w:t>
      </w:r>
      <w:r w:rsidR="00497A65">
        <w:t>loan.  Therefore,</w:t>
      </w:r>
      <w:r w:rsidR="00930EA1">
        <w:t xml:space="preserve"> she asserts that her statement</w:t>
      </w:r>
      <w:r w:rsidR="00497A65">
        <w:t xml:space="preserve"> to Hill </w:t>
      </w:r>
      <w:r w:rsidR="00C94C1A">
        <w:t xml:space="preserve">that </w:t>
      </w:r>
      <w:r w:rsidR="002B52EC">
        <w:t>it</w:t>
      </w:r>
      <w:r w:rsidR="00C94C1A">
        <w:t xml:space="preserve"> was not a personal loan, but a real estate investment loan, </w:t>
      </w:r>
      <w:r w:rsidR="00930EA1">
        <w:t>was</w:t>
      </w:r>
      <w:r w:rsidR="00497A65">
        <w:t xml:space="preserve"> not</w:t>
      </w:r>
      <w:r w:rsidR="00930EA1">
        <w:t xml:space="preserve"> a misrepresentation.</w:t>
      </w:r>
      <w:r w:rsidR="007E4474">
        <w:t xml:space="preserve">  </w:t>
      </w:r>
      <w:r w:rsidR="00AD4C0A">
        <w:t xml:space="preserve">We agree.  </w:t>
      </w:r>
      <w:r w:rsidR="00A81CE4">
        <w:t xml:space="preserve">Her </w:t>
      </w:r>
      <w:r w:rsidR="00A81CE4">
        <w:lastRenderedPageBreak/>
        <w:t xml:space="preserve">statement that </w:t>
      </w:r>
      <w:r w:rsidR="000732A4">
        <w:t>it</w:t>
      </w:r>
      <w:r w:rsidR="00A81CE4">
        <w:t xml:space="preserve"> was not a person</w:t>
      </w:r>
      <w:r w:rsidR="00AD4C0A">
        <w:t xml:space="preserve">al loan only indicated that </w:t>
      </w:r>
      <w:r w:rsidR="002B52EC">
        <w:t>it</w:t>
      </w:r>
      <w:r w:rsidR="00AD4C0A">
        <w:t xml:space="preserve"> was a secured loan, and</w:t>
      </w:r>
      <w:r w:rsidR="00943E01">
        <w:t>,</w:t>
      </w:r>
      <w:r w:rsidR="00AD4C0A">
        <w:t xml:space="preserve"> in her mind, a “business loan.”  This was not a misreprese</w:t>
      </w:r>
      <w:r w:rsidR="00943E01">
        <w:t>ntation in violation of section </w:t>
      </w:r>
      <w:r w:rsidR="00AD4C0A">
        <w:t>6106.</w:t>
      </w:r>
    </w:p>
    <w:p w:rsidR="00B82A77" w:rsidRDefault="00301005" w:rsidP="00B6499E">
      <w:pPr>
        <w:spacing w:line="480" w:lineRule="auto"/>
        <w:ind w:firstLine="720"/>
      </w:pPr>
      <w:r>
        <w:t xml:space="preserve">As to the second statement that </w:t>
      </w:r>
      <w:proofErr w:type="spellStart"/>
      <w:r>
        <w:t>Lingwood</w:t>
      </w:r>
      <w:proofErr w:type="spellEnd"/>
      <w:r w:rsidR="00AD4C0A">
        <w:t xml:space="preserve"> did not make a loan from Bob’s personal </w:t>
      </w:r>
      <w:r>
        <w:t xml:space="preserve">assets, it </w:t>
      </w:r>
      <w:r w:rsidR="00901A1B">
        <w:t>was not false because the loan was drawn from the Trust</w:t>
      </w:r>
      <w:r w:rsidR="00360DE3">
        <w:t xml:space="preserve"> bank</w:t>
      </w:r>
      <w:r w:rsidR="00901A1B">
        <w:t xml:space="preserve"> account and </w:t>
      </w:r>
      <w:r w:rsidR="002B52EC">
        <w:t>she</w:t>
      </w:r>
      <w:r w:rsidR="00901A1B">
        <w:t xml:space="preserve"> state</w:t>
      </w:r>
      <w:r w:rsidR="002B52EC">
        <w:t xml:space="preserve">d </w:t>
      </w:r>
      <w:r>
        <w:t xml:space="preserve">so </w:t>
      </w:r>
      <w:r w:rsidR="005E2771">
        <w:t xml:space="preserve">in her letter to Hill. </w:t>
      </w:r>
      <w:r w:rsidR="00E4768D">
        <w:t xml:space="preserve"> OCTC argues that </w:t>
      </w:r>
      <w:proofErr w:type="spellStart"/>
      <w:r w:rsidR="00E4768D">
        <w:t>Lingwood’s</w:t>
      </w:r>
      <w:proofErr w:type="spellEnd"/>
      <w:r w:rsidR="00E4768D">
        <w:t xml:space="preserve"> statement was a misrepresentation because she had written a $25,147.85 check from Bob’s personal account and deposited it into the Trust bank account</w:t>
      </w:r>
      <w:r w:rsidR="00A80652">
        <w:t xml:space="preserve"> on March </w:t>
      </w:r>
      <w:r w:rsidR="00BE3735">
        <w:t>30</w:t>
      </w:r>
      <w:r w:rsidR="00781C87">
        <w:t>, be</w:t>
      </w:r>
      <w:r w:rsidR="00A80652">
        <w:t>fore she wrote a check on April </w:t>
      </w:r>
      <w:r w:rsidR="00781C87">
        <w:t>1 from the Trust</w:t>
      </w:r>
      <w:r w:rsidR="00360DE3">
        <w:t xml:space="preserve"> bank</w:t>
      </w:r>
      <w:r w:rsidR="00781C87">
        <w:t xml:space="preserve"> account for $30,000</w:t>
      </w:r>
      <w:r w:rsidR="00E4768D">
        <w:t xml:space="preserve">.  </w:t>
      </w:r>
      <w:proofErr w:type="spellStart"/>
      <w:r w:rsidR="00E4768D">
        <w:t>Lingwood</w:t>
      </w:r>
      <w:proofErr w:type="spellEnd"/>
      <w:r w:rsidR="00E4768D">
        <w:t xml:space="preserve"> had the authority to manage Bob’</w:t>
      </w:r>
      <w:r w:rsidR="00930EA1">
        <w:t xml:space="preserve">s assets under the </w:t>
      </w:r>
      <w:r w:rsidR="00360DE3">
        <w:t>DPOA</w:t>
      </w:r>
      <w:r w:rsidR="00E4768D">
        <w:t xml:space="preserve">.  </w:t>
      </w:r>
      <w:r w:rsidR="00E47289">
        <w:t xml:space="preserve">OCTC has not provided clear and convincing evidence that </w:t>
      </w:r>
      <w:r w:rsidR="002B52EC">
        <w:t>her</w:t>
      </w:r>
      <w:r w:rsidR="00E47289">
        <w:t xml:space="preserve"> statement </w:t>
      </w:r>
      <w:r w:rsidR="002B52EC">
        <w:t xml:space="preserve">was </w:t>
      </w:r>
      <w:r w:rsidR="0087609D">
        <w:t xml:space="preserve">either </w:t>
      </w:r>
      <w:r w:rsidR="00E47289">
        <w:t>meant to mislead Hill</w:t>
      </w:r>
      <w:r w:rsidR="0087609D">
        <w:t xml:space="preserve"> or made with gross negligence</w:t>
      </w:r>
      <w:r w:rsidR="00E47289">
        <w:t xml:space="preserve">.  </w:t>
      </w:r>
      <w:r w:rsidR="00B842A4">
        <w:t xml:space="preserve">In fact, </w:t>
      </w:r>
      <w:proofErr w:type="spellStart"/>
      <w:r w:rsidR="00E47289">
        <w:t>Lingwood</w:t>
      </w:r>
      <w:proofErr w:type="spellEnd"/>
      <w:r w:rsidR="00E47289">
        <w:t xml:space="preserve"> provided accountings</w:t>
      </w:r>
      <w:r w:rsidR="00311866">
        <w:t xml:space="preserve"> to Hill</w:t>
      </w:r>
      <w:r w:rsidR="00E47289">
        <w:t xml:space="preserve"> for Bob’s estate and the Trust.  She never hid that she had moved Bob’</w:t>
      </w:r>
      <w:r w:rsidR="00BE3735">
        <w:t xml:space="preserve">s money </w:t>
      </w:r>
      <w:r w:rsidR="00B842A4">
        <w:t xml:space="preserve">from one account to another </w:t>
      </w:r>
      <w:r w:rsidR="00BE3735">
        <w:t xml:space="preserve">and was attempting to make investments that would </w:t>
      </w:r>
      <w:r w:rsidR="002B52EC">
        <w:t>generate</w:t>
      </w:r>
      <w:r w:rsidR="00BE3735">
        <w:t xml:space="preserve"> more money for the Trust.</w:t>
      </w:r>
      <w:r w:rsidR="00D71F75">
        <w:rPr>
          <w:rStyle w:val="FootnoteReference"/>
        </w:rPr>
        <w:footnoteReference w:id="17"/>
      </w:r>
      <w:r w:rsidR="00AB37DE">
        <w:t xml:space="preserve">  We find that </w:t>
      </w:r>
      <w:r w:rsidR="00372874">
        <w:t>this</w:t>
      </w:r>
      <w:r w:rsidR="00AB37DE">
        <w:t xml:space="preserve"> statement was </w:t>
      </w:r>
      <w:r w:rsidR="00B6499E">
        <w:t xml:space="preserve">not </w:t>
      </w:r>
      <w:r w:rsidR="00AB37DE">
        <w:t xml:space="preserve">a misrepresentation in violation </w:t>
      </w:r>
      <w:r w:rsidR="00A80652">
        <w:t>of section </w:t>
      </w:r>
      <w:r w:rsidR="00AB37DE">
        <w:t>6106.</w:t>
      </w:r>
    </w:p>
    <w:p w:rsidR="004D1F7F" w:rsidRDefault="00301005" w:rsidP="007D7DCB">
      <w:pPr>
        <w:spacing w:line="480" w:lineRule="auto"/>
        <w:ind w:firstLine="720"/>
      </w:pPr>
      <w:r>
        <w:t>As to the th</w:t>
      </w:r>
      <w:r w:rsidR="00DA2EA6">
        <w:t xml:space="preserve">ird statement that </w:t>
      </w:r>
      <w:proofErr w:type="spellStart"/>
      <w:r w:rsidR="00DA2EA6">
        <w:t>Lingwood</w:t>
      </w:r>
      <w:proofErr w:type="spellEnd"/>
      <w:r w:rsidR="00DA2EA6">
        <w:t xml:space="preserve"> made a real estate loan, we find it represents her honestly held beliefs about the loan at the time.  </w:t>
      </w:r>
      <w:r w:rsidR="00372874">
        <w:t>She</w:t>
      </w:r>
      <w:r w:rsidR="00B842A4">
        <w:t xml:space="preserve"> never attempted to conceal the fact that she had taken the loan.  </w:t>
      </w:r>
      <w:r w:rsidR="00620A43">
        <w:t xml:space="preserve">In fact, she provided Hill with a copy of the </w:t>
      </w:r>
      <w:r w:rsidR="002D0881">
        <w:t>note</w:t>
      </w:r>
      <w:r w:rsidR="00620A43">
        <w:t xml:space="preserve"> and the dee</w:t>
      </w:r>
      <w:r w:rsidR="00692985">
        <w:t xml:space="preserve">d of trust.  </w:t>
      </w:r>
      <w:r w:rsidR="00620A43">
        <w:t>Th</w:t>
      </w:r>
      <w:r w:rsidR="00692985">
        <w:t xml:space="preserve">ere was no misrepresentation or </w:t>
      </w:r>
      <w:r w:rsidR="00620A43">
        <w:t>concealment of material facts</w:t>
      </w:r>
      <w:r w:rsidR="00B842A4">
        <w:t xml:space="preserve"> </w:t>
      </w:r>
      <w:r w:rsidR="002D0881">
        <w:t xml:space="preserve">since </w:t>
      </w:r>
      <w:proofErr w:type="spellStart"/>
      <w:r w:rsidR="00372874">
        <w:t>Lingwood</w:t>
      </w:r>
      <w:proofErr w:type="spellEnd"/>
      <w:r w:rsidR="0096454D">
        <w:t xml:space="preserve"> </w:t>
      </w:r>
      <w:r w:rsidR="00B842A4">
        <w:t xml:space="preserve">correctly </w:t>
      </w:r>
      <w:r w:rsidR="0096454D">
        <w:t xml:space="preserve">told Hill that she </w:t>
      </w:r>
      <w:r w:rsidR="002B52EC">
        <w:t xml:space="preserve">had </w:t>
      </w:r>
      <w:r w:rsidR="0096454D">
        <w:t xml:space="preserve">made a secured “real estate investment loan.”  </w:t>
      </w:r>
      <w:r w:rsidR="00300BB8">
        <w:t xml:space="preserve">Accordingly, OCTC failed to present clear and convincing evidence that </w:t>
      </w:r>
      <w:proofErr w:type="spellStart"/>
      <w:r w:rsidR="00300BB8">
        <w:t>Lingwood’s</w:t>
      </w:r>
      <w:proofErr w:type="spellEnd"/>
      <w:r w:rsidR="00300BB8">
        <w:t xml:space="preserve"> statements</w:t>
      </w:r>
      <w:r w:rsidR="00DA2EA6">
        <w:t xml:space="preserve"> charged in the NDC</w:t>
      </w:r>
      <w:r w:rsidR="00300BB8">
        <w:t xml:space="preserve"> were misrepresentations, and we therefore dismiss count four with prejudice.</w:t>
      </w:r>
    </w:p>
    <w:p w:rsidR="00625595" w:rsidRDefault="00625595" w:rsidP="007D7DCB">
      <w:pPr>
        <w:spacing w:line="480" w:lineRule="auto"/>
        <w:ind w:firstLine="720"/>
      </w:pPr>
    </w:p>
    <w:p w:rsidR="00625595" w:rsidRDefault="00625595" w:rsidP="007D7DCB">
      <w:pPr>
        <w:spacing w:line="480" w:lineRule="auto"/>
        <w:ind w:firstLine="720"/>
      </w:pPr>
    </w:p>
    <w:p w:rsidR="00625595" w:rsidRDefault="00625595" w:rsidP="00E56EF6">
      <w:pPr>
        <w:spacing w:line="480" w:lineRule="auto"/>
        <w:jc w:val="center"/>
        <w:rPr>
          <w:rFonts w:eastAsia="Times New Roman"/>
          <w:b/>
          <w:szCs w:val="24"/>
        </w:rPr>
      </w:pPr>
    </w:p>
    <w:p w:rsidR="00E56EF6" w:rsidRDefault="00E56EF6" w:rsidP="00E56EF6">
      <w:pPr>
        <w:spacing w:line="480" w:lineRule="auto"/>
        <w:jc w:val="center"/>
        <w:rPr>
          <w:rFonts w:eastAsia="Times New Roman"/>
          <w:b/>
          <w:szCs w:val="24"/>
        </w:rPr>
      </w:pPr>
      <w:r w:rsidRPr="00E56EF6">
        <w:rPr>
          <w:rFonts w:eastAsia="Times New Roman"/>
          <w:b/>
          <w:szCs w:val="24"/>
        </w:rPr>
        <w:lastRenderedPageBreak/>
        <w:t>I</w:t>
      </w:r>
      <w:r w:rsidR="00F17C27">
        <w:rPr>
          <w:rFonts w:eastAsia="Times New Roman"/>
          <w:b/>
          <w:szCs w:val="24"/>
        </w:rPr>
        <w:t>V</w:t>
      </w:r>
      <w:r w:rsidR="00673041">
        <w:rPr>
          <w:rFonts w:eastAsia="Times New Roman"/>
          <w:b/>
          <w:szCs w:val="24"/>
        </w:rPr>
        <w:t>.  AGGRAVATION AND MITIGATION</w:t>
      </w:r>
    </w:p>
    <w:p w:rsidR="00F1517F" w:rsidRDefault="00F1517F" w:rsidP="00F1517F">
      <w:pPr>
        <w:spacing w:line="480" w:lineRule="auto"/>
        <w:ind w:firstLine="720"/>
      </w:pPr>
      <w:r w:rsidRPr="00801B35">
        <w:t>Standard</w:t>
      </w:r>
      <w:r>
        <w:t> </w:t>
      </w:r>
      <w:r w:rsidRPr="00801B35">
        <w:t>1.5</w:t>
      </w:r>
      <w:r w:rsidR="00BA1E01">
        <w:rPr>
          <w:rStyle w:val="FootnoteReference"/>
        </w:rPr>
        <w:footnoteReference w:id="18"/>
      </w:r>
      <w:r w:rsidRPr="00801B35">
        <w:t xml:space="preserve"> requires OCTC to establish aggravating circumstances by clear and convincing evidence</w:t>
      </w:r>
      <w:r>
        <w:t>.  S</w:t>
      </w:r>
      <w:r w:rsidRPr="00801B35">
        <w:t>tandard</w:t>
      </w:r>
      <w:r>
        <w:t> </w:t>
      </w:r>
      <w:r w:rsidRPr="00801B35">
        <w:t xml:space="preserve">1.6 requires </w:t>
      </w:r>
      <w:proofErr w:type="spellStart"/>
      <w:r>
        <w:t>Lingwood</w:t>
      </w:r>
      <w:proofErr w:type="spellEnd"/>
      <w:r w:rsidRPr="00801B35">
        <w:t xml:space="preserve"> to meet the sa</w:t>
      </w:r>
      <w:r>
        <w:t>me burden to prove mitigation.</w:t>
      </w:r>
    </w:p>
    <w:p w:rsidR="00F1517F" w:rsidRPr="00F1517F" w:rsidRDefault="003431AA" w:rsidP="00F1517F">
      <w:pPr>
        <w:spacing w:line="480" w:lineRule="auto"/>
        <w:rPr>
          <w:b/>
        </w:rPr>
      </w:pPr>
      <w:r>
        <w:rPr>
          <w:b/>
        </w:rPr>
        <w:t>A.</w:t>
      </w:r>
      <w:r>
        <w:rPr>
          <w:b/>
        </w:rPr>
        <w:tab/>
        <w:t>Aggravation</w:t>
      </w:r>
    </w:p>
    <w:p w:rsidR="00F1517F" w:rsidRPr="00A80652" w:rsidRDefault="00F1517F" w:rsidP="00F1517F">
      <w:pPr>
        <w:spacing w:line="480" w:lineRule="auto"/>
        <w:ind w:firstLine="720"/>
        <w:rPr>
          <w:b/>
        </w:rPr>
      </w:pPr>
      <w:r w:rsidRPr="00A80652">
        <w:rPr>
          <w:b/>
        </w:rPr>
        <w:t>1.  Multiple Acts (Std. 1.5(b))</w:t>
      </w:r>
    </w:p>
    <w:p w:rsidR="00520828" w:rsidRDefault="00F1517F" w:rsidP="003E5A62">
      <w:pPr>
        <w:spacing w:line="480" w:lineRule="auto"/>
        <w:ind w:firstLine="720"/>
      </w:pPr>
      <w:r>
        <w:t xml:space="preserve">The hearing judge found that </w:t>
      </w:r>
      <w:proofErr w:type="spellStart"/>
      <w:r>
        <w:t>Lingwood</w:t>
      </w:r>
      <w:proofErr w:type="spellEnd"/>
      <w:r>
        <w:t xml:space="preserve"> “committed two separate acts of moral turpitude and engaged in self-dealing.”  The judge assigned moderate weight in aggravation.</w:t>
      </w:r>
      <w:r w:rsidR="00520828">
        <w:t xml:space="preserve">  We find </w:t>
      </w:r>
      <w:r w:rsidR="003F32A3">
        <w:t xml:space="preserve">no </w:t>
      </w:r>
      <w:r w:rsidR="00D67892">
        <w:t xml:space="preserve">acts of </w:t>
      </w:r>
      <w:r w:rsidR="003F32A3">
        <w:t xml:space="preserve">moral turpitude and no self-dealing.  </w:t>
      </w:r>
      <w:r w:rsidR="001F6B73">
        <w:t xml:space="preserve">The only </w:t>
      </w:r>
      <w:r w:rsidR="003E5A62">
        <w:t xml:space="preserve">culpability we find is </w:t>
      </w:r>
      <w:r w:rsidR="00605C26">
        <w:t>for</w:t>
      </w:r>
      <w:r w:rsidR="003E5A62">
        <w:t xml:space="preserve"> </w:t>
      </w:r>
      <w:proofErr w:type="spellStart"/>
      <w:r w:rsidR="003E5A62">
        <w:t>Lingwood’s</w:t>
      </w:r>
      <w:proofErr w:type="spellEnd"/>
      <w:r w:rsidR="003E5A62">
        <w:t xml:space="preserve"> </w:t>
      </w:r>
      <w:r w:rsidR="00A80652">
        <w:t>failure to comply with rule </w:t>
      </w:r>
      <w:r w:rsidR="00D67892">
        <w:t xml:space="preserve">3-300 </w:t>
      </w:r>
      <w:r w:rsidR="003E5A62">
        <w:t>before entering into the loan</w:t>
      </w:r>
      <w:r w:rsidR="0072469C">
        <w:t xml:space="preserve"> a</w:t>
      </w:r>
      <w:r w:rsidR="009E592B">
        <w:t xml:space="preserve">nd </w:t>
      </w:r>
      <w:r w:rsidR="00605C26">
        <w:t xml:space="preserve">for </w:t>
      </w:r>
      <w:r w:rsidR="009E592B">
        <w:t xml:space="preserve">duplicative allegations under </w:t>
      </w:r>
      <w:r w:rsidR="0072469C">
        <w:t>section</w:t>
      </w:r>
      <w:r w:rsidR="00A80652">
        <w:t> </w:t>
      </w:r>
      <w:r w:rsidR="0072469C">
        <w:t>6068, subdivision</w:t>
      </w:r>
      <w:r w:rsidR="00A80652">
        <w:t> </w:t>
      </w:r>
      <w:r w:rsidR="00F67190">
        <w:t>(a)</w:t>
      </w:r>
      <w:r w:rsidR="003E5A62">
        <w:t xml:space="preserve">.  </w:t>
      </w:r>
      <w:r w:rsidR="003F32A3">
        <w:t>As such, we assign no aggravation for multiple acts.</w:t>
      </w:r>
    </w:p>
    <w:p w:rsidR="00520828" w:rsidRPr="00A80652" w:rsidRDefault="00520828" w:rsidP="00F1517F">
      <w:pPr>
        <w:spacing w:line="480" w:lineRule="auto"/>
        <w:ind w:firstLine="720"/>
        <w:rPr>
          <w:b/>
        </w:rPr>
      </w:pPr>
      <w:r w:rsidRPr="00A80652">
        <w:rPr>
          <w:b/>
        </w:rPr>
        <w:t>2.  Concealment (Std. 1.5(f))</w:t>
      </w:r>
    </w:p>
    <w:p w:rsidR="00F1517F" w:rsidRDefault="00520828" w:rsidP="00F1517F">
      <w:pPr>
        <w:spacing w:line="480" w:lineRule="auto"/>
        <w:ind w:firstLine="720"/>
      </w:pPr>
      <w:r>
        <w:t xml:space="preserve">The hearing judge found that </w:t>
      </w:r>
      <w:proofErr w:type="spellStart"/>
      <w:r>
        <w:t>Lingwood’s</w:t>
      </w:r>
      <w:proofErr w:type="spellEnd"/>
      <w:r>
        <w:t xml:space="preserve"> misconduct was “surrounded by concealment” and that she “tried to conceal her misappropriation of $60,000 by characterizing it as a real estate </w:t>
      </w:r>
      <w:r w:rsidR="00640C83">
        <w:t xml:space="preserve">investment </w:t>
      </w:r>
      <w:r>
        <w:t>loan.”</w:t>
      </w:r>
      <w:r w:rsidR="0078080B">
        <w:t xml:space="preserve">  </w:t>
      </w:r>
      <w:r w:rsidR="00D67892">
        <w:t>Since w</w:t>
      </w:r>
      <w:r w:rsidR="00B63D69">
        <w:t xml:space="preserve">e find that </w:t>
      </w:r>
      <w:proofErr w:type="spellStart"/>
      <w:r w:rsidR="00B63D69">
        <w:t>Lingwood</w:t>
      </w:r>
      <w:proofErr w:type="spellEnd"/>
      <w:r w:rsidR="00B63D69">
        <w:t xml:space="preserve"> </w:t>
      </w:r>
      <w:r w:rsidR="003431AA">
        <w:t>disclosed the</w:t>
      </w:r>
      <w:r w:rsidR="00216825">
        <w:t xml:space="preserve"> loan </w:t>
      </w:r>
      <w:r w:rsidR="00B63D69">
        <w:t>to Hill and provided her with a copy of the note and the deed of trust</w:t>
      </w:r>
      <w:r w:rsidR="003431AA">
        <w:t xml:space="preserve">, </w:t>
      </w:r>
      <w:r w:rsidR="00B63D69">
        <w:t>we assign no aggravation for concealment.</w:t>
      </w:r>
    </w:p>
    <w:p w:rsidR="0078080B" w:rsidRPr="00A80652" w:rsidRDefault="0078080B" w:rsidP="00F1517F">
      <w:pPr>
        <w:spacing w:line="480" w:lineRule="auto"/>
        <w:ind w:firstLine="720"/>
        <w:rPr>
          <w:b/>
        </w:rPr>
      </w:pPr>
      <w:r w:rsidRPr="00A80652">
        <w:rPr>
          <w:b/>
        </w:rPr>
        <w:t>3.  Significant Harm to the Client (Std. 1.5(j))</w:t>
      </w:r>
    </w:p>
    <w:p w:rsidR="00F93455" w:rsidRDefault="0078080B" w:rsidP="00F1517F">
      <w:pPr>
        <w:spacing w:line="480" w:lineRule="auto"/>
        <w:ind w:firstLine="720"/>
      </w:pPr>
      <w:r>
        <w:t xml:space="preserve">The hearing judge found that </w:t>
      </w:r>
      <w:proofErr w:type="spellStart"/>
      <w:r>
        <w:t>Lingwood</w:t>
      </w:r>
      <w:proofErr w:type="spellEnd"/>
      <w:r>
        <w:t xml:space="preserve"> caused significant harm to the Trust because Trust </w:t>
      </w:r>
      <w:r w:rsidR="001532E6">
        <w:t>money</w:t>
      </w:r>
      <w:r>
        <w:t xml:space="preserve"> had to be used to hire an attorney to restore the funds </w:t>
      </w:r>
      <w:proofErr w:type="spellStart"/>
      <w:r>
        <w:t>Lingwood</w:t>
      </w:r>
      <w:proofErr w:type="spellEnd"/>
      <w:r>
        <w:t xml:space="preserve"> misappropriated.</w:t>
      </w:r>
      <w:r w:rsidR="00F93455">
        <w:t xml:space="preserve">  We disagree.  </w:t>
      </w:r>
      <w:r w:rsidR="00082329">
        <w:t xml:space="preserve">No clear and convincing evidence was produced showing that </w:t>
      </w:r>
      <w:r w:rsidR="00640C83">
        <w:t>Belinda’s hiring of an attorney constitute</w:t>
      </w:r>
      <w:r w:rsidR="00082329">
        <w:t>d</w:t>
      </w:r>
      <w:r w:rsidR="00640C83">
        <w:t xml:space="preserve"> significant harm.  </w:t>
      </w:r>
      <w:proofErr w:type="spellStart"/>
      <w:r w:rsidR="00F6331B">
        <w:t>Lingwood</w:t>
      </w:r>
      <w:proofErr w:type="spellEnd"/>
      <w:r w:rsidR="00F6331B">
        <w:t xml:space="preserve"> did not misappropriate any money and the loan did not harm the Trust as </w:t>
      </w:r>
      <w:r w:rsidR="005773B5">
        <w:t>it</w:t>
      </w:r>
      <w:r w:rsidR="00F6331B">
        <w:t xml:space="preserve"> was secured and repaid with interest.  Even though </w:t>
      </w:r>
      <w:proofErr w:type="spellStart"/>
      <w:r w:rsidR="00F6331B">
        <w:t>Lingwood</w:t>
      </w:r>
      <w:proofErr w:type="spellEnd"/>
      <w:r w:rsidR="00F6331B">
        <w:t xml:space="preserve"> </w:t>
      </w:r>
      <w:r w:rsidR="00F6331B">
        <w:lastRenderedPageBreak/>
        <w:t>failed to follow her fiduciary duties to the beneficiaries, we find</w:t>
      </w:r>
      <w:r w:rsidR="005773B5">
        <w:t xml:space="preserve"> no evidence</w:t>
      </w:r>
      <w:r w:rsidR="00F6331B">
        <w:t xml:space="preserve"> that they were significantly harmed.  Accordingly, we assign no aggravation under standard</w:t>
      </w:r>
      <w:r w:rsidR="001532E6">
        <w:t> </w:t>
      </w:r>
      <w:r w:rsidR="00F6331B">
        <w:t>1.5(j).</w:t>
      </w:r>
    </w:p>
    <w:p w:rsidR="0078080B" w:rsidRPr="00A80652" w:rsidRDefault="0078080B" w:rsidP="00F1517F">
      <w:pPr>
        <w:spacing w:line="480" w:lineRule="auto"/>
        <w:ind w:firstLine="720"/>
        <w:rPr>
          <w:b/>
        </w:rPr>
      </w:pPr>
      <w:r w:rsidRPr="00A80652">
        <w:rPr>
          <w:b/>
        </w:rPr>
        <w:t>4.  Indifference (Std. 1.5(k))</w:t>
      </w:r>
    </w:p>
    <w:p w:rsidR="009A1BEC" w:rsidRDefault="00A80652" w:rsidP="000E1442">
      <w:pPr>
        <w:spacing w:line="480" w:lineRule="auto"/>
        <w:ind w:firstLine="720"/>
      </w:pPr>
      <w:r>
        <w:t>Standard </w:t>
      </w:r>
      <w:r w:rsidR="00FA2F6A">
        <w:t>1.5</w:t>
      </w:r>
      <w:r w:rsidR="00C440A6">
        <w:t xml:space="preserve">(k) provides </w:t>
      </w:r>
      <w:r w:rsidR="00A041B9">
        <w:t>that an aggravating circumstance may include “indifference toward rectification or atonement for the consequences of the misconduct.”</w:t>
      </w:r>
      <w:r w:rsidR="00FF1FF6">
        <w:t xml:space="preserve">  An attorney who fails to accept responsibility for her actions and instead seeks to shift responsibility to others demonstrates indifference and lack of remorse.  (</w:t>
      </w:r>
      <w:r w:rsidR="00FF1FF6">
        <w:rPr>
          <w:i/>
        </w:rPr>
        <w:t>In the Matter of Wolff</w:t>
      </w:r>
      <w:r w:rsidR="00FF1FF6">
        <w:t xml:space="preserve"> (Review Dept. 2006) 5</w:t>
      </w:r>
      <w:r>
        <w:t> </w:t>
      </w:r>
      <w:r w:rsidR="00FF1FF6">
        <w:t xml:space="preserve">Cal. State Bar Ct. </w:t>
      </w:r>
      <w:proofErr w:type="spellStart"/>
      <w:r w:rsidR="00FF1FF6">
        <w:t>Rptr</w:t>
      </w:r>
      <w:proofErr w:type="spellEnd"/>
      <w:r w:rsidR="00FF1FF6">
        <w:t>. 1, 14.)</w:t>
      </w:r>
      <w:r w:rsidR="00541E90">
        <w:t xml:space="preserve">  </w:t>
      </w:r>
      <w:r w:rsidR="003263DD">
        <w:t xml:space="preserve">The hearing judge assigned significant aggravation for </w:t>
      </w:r>
      <w:proofErr w:type="spellStart"/>
      <w:r w:rsidR="003263DD">
        <w:t>Lingwood’s</w:t>
      </w:r>
      <w:proofErr w:type="spellEnd"/>
      <w:r w:rsidR="003263DD">
        <w:t xml:space="preserve"> </w:t>
      </w:r>
      <w:r w:rsidR="00E11501">
        <w:t xml:space="preserve">failure to appreciate the wrongfulness of her misconduct.  </w:t>
      </w:r>
      <w:proofErr w:type="spellStart"/>
      <w:r w:rsidR="009A1BEC">
        <w:t>Lingwood</w:t>
      </w:r>
      <w:proofErr w:type="spellEnd"/>
      <w:r w:rsidR="009A1BEC">
        <w:t xml:space="preserve"> admitted before trial that she failed to comply with </w:t>
      </w:r>
      <w:r w:rsidR="00360DE3">
        <w:t xml:space="preserve">the </w:t>
      </w:r>
      <w:r w:rsidR="00C4567C">
        <w:t>Probate Code and rule </w:t>
      </w:r>
      <w:r w:rsidR="009A1BEC">
        <w:t>3-300</w:t>
      </w:r>
      <w:r w:rsidR="000E1442">
        <w:t xml:space="preserve">, and therefore was culpable under counts two and three—the only counts for which we find culpability.  She also apologized at trial for these violations.  </w:t>
      </w:r>
      <w:r w:rsidR="0052439C">
        <w:t xml:space="preserve">Additionally, before trial, she repaid the loan with interest.  </w:t>
      </w:r>
      <w:r w:rsidR="009A1BEC">
        <w:t xml:space="preserve">There is no clear and convincing evidence that </w:t>
      </w:r>
      <w:proofErr w:type="spellStart"/>
      <w:r w:rsidR="009A1BEC">
        <w:t>Lingwood</w:t>
      </w:r>
      <w:proofErr w:type="spellEnd"/>
      <w:r w:rsidR="009A1BEC">
        <w:t xml:space="preserve"> displayed indifference.</w:t>
      </w:r>
    </w:p>
    <w:p w:rsidR="00E11501" w:rsidRPr="00C4567C" w:rsidRDefault="00E11501" w:rsidP="00F1517F">
      <w:pPr>
        <w:spacing w:line="480" w:lineRule="auto"/>
        <w:ind w:firstLine="720"/>
        <w:rPr>
          <w:b/>
        </w:rPr>
      </w:pPr>
      <w:r w:rsidRPr="00C4567C">
        <w:rPr>
          <w:b/>
        </w:rPr>
        <w:t>5.  High</w:t>
      </w:r>
      <w:r w:rsidR="009429BF">
        <w:rPr>
          <w:b/>
        </w:rPr>
        <w:t xml:space="preserve"> Level of Victim Vulnerability </w:t>
      </w:r>
      <w:r w:rsidRPr="00C4567C">
        <w:rPr>
          <w:b/>
        </w:rPr>
        <w:t>(Std. 1.5(n))</w:t>
      </w:r>
    </w:p>
    <w:p w:rsidR="000927DA" w:rsidRDefault="00E11501" w:rsidP="00F1517F">
      <w:pPr>
        <w:spacing w:line="480" w:lineRule="auto"/>
        <w:ind w:firstLine="720"/>
      </w:pPr>
      <w:r>
        <w:t>The hearing judge found that Bob was</w:t>
      </w:r>
      <w:r w:rsidR="00ED46D2">
        <w:t xml:space="preserve"> a</w:t>
      </w:r>
      <w:r>
        <w:t xml:space="preserve"> </w:t>
      </w:r>
      <w:r w:rsidR="006F492F">
        <w:t>vulnerable victim because he was elderly and had Alzheimer’s disease.</w:t>
      </w:r>
      <w:r w:rsidR="00ED46D2">
        <w:t xml:space="preserve">  The judge determined that </w:t>
      </w:r>
      <w:proofErr w:type="spellStart"/>
      <w:r w:rsidR="00ED46D2">
        <w:t>Lingwood</w:t>
      </w:r>
      <w:proofErr w:type="spellEnd"/>
      <w:r w:rsidR="00ED46D2">
        <w:t xml:space="preserve"> breached her fiduciary duty to Bob by misappropriating funds that were for his benefit and by engaging in self-dealing.  </w:t>
      </w:r>
      <w:r w:rsidR="000E1442">
        <w:t xml:space="preserve">We do not find that </w:t>
      </w:r>
      <w:proofErr w:type="spellStart"/>
      <w:r w:rsidR="000927DA">
        <w:t>Lingwood</w:t>
      </w:r>
      <w:proofErr w:type="spellEnd"/>
      <w:r w:rsidR="000927DA">
        <w:t xml:space="preserve"> misappropriated funds or engaged in improper self-dealing.  </w:t>
      </w:r>
      <w:proofErr w:type="spellStart"/>
      <w:r w:rsidR="000927DA">
        <w:t>Lingwood’s</w:t>
      </w:r>
      <w:proofErr w:type="spellEnd"/>
      <w:r w:rsidR="000927DA">
        <w:t xml:space="preserve"> culpability here </w:t>
      </w:r>
      <w:r w:rsidR="009540BB">
        <w:t>is based on</w:t>
      </w:r>
      <w:r w:rsidR="000927DA">
        <w:t xml:space="preserve"> her failure to</w:t>
      </w:r>
      <w:r w:rsidR="005773B5">
        <w:t xml:space="preserve"> properly</w:t>
      </w:r>
      <w:r w:rsidR="000927DA">
        <w:t xml:space="preserve"> notify and obtain permission from Belinda and Gerald to enter into the loan.</w:t>
      </w:r>
      <w:r w:rsidR="009540BB">
        <w:t xml:space="preserve">  Bob </w:t>
      </w:r>
      <w:r w:rsidR="00216825">
        <w:t>suffered no damage as</w:t>
      </w:r>
      <w:r w:rsidR="009540BB">
        <w:t xml:space="preserve"> a vulnerable victim here and we assign no aggravation under standard</w:t>
      </w:r>
      <w:r w:rsidR="00C4567C">
        <w:t> </w:t>
      </w:r>
      <w:r w:rsidR="009540BB">
        <w:t>1.5(n).</w:t>
      </w:r>
    </w:p>
    <w:p w:rsidR="009429BF" w:rsidRDefault="009429BF" w:rsidP="00ED46D2">
      <w:pPr>
        <w:spacing w:line="480" w:lineRule="auto"/>
        <w:rPr>
          <w:b/>
        </w:rPr>
      </w:pPr>
    </w:p>
    <w:p w:rsidR="009429BF" w:rsidRDefault="009429BF" w:rsidP="00ED46D2">
      <w:pPr>
        <w:spacing w:line="480" w:lineRule="auto"/>
        <w:rPr>
          <w:b/>
        </w:rPr>
      </w:pPr>
    </w:p>
    <w:p w:rsidR="009429BF" w:rsidRDefault="009429BF" w:rsidP="00ED46D2">
      <w:pPr>
        <w:spacing w:line="480" w:lineRule="auto"/>
        <w:rPr>
          <w:b/>
        </w:rPr>
      </w:pPr>
    </w:p>
    <w:p w:rsidR="00ED46D2" w:rsidRPr="00ED46D2" w:rsidRDefault="003431AA" w:rsidP="00ED46D2">
      <w:pPr>
        <w:spacing w:line="480" w:lineRule="auto"/>
        <w:rPr>
          <w:b/>
        </w:rPr>
      </w:pPr>
      <w:r>
        <w:rPr>
          <w:b/>
        </w:rPr>
        <w:lastRenderedPageBreak/>
        <w:t>B.</w:t>
      </w:r>
      <w:r>
        <w:rPr>
          <w:b/>
        </w:rPr>
        <w:tab/>
        <w:t>Mitigation</w:t>
      </w:r>
    </w:p>
    <w:p w:rsidR="00ED46D2" w:rsidRPr="00C4567C" w:rsidRDefault="00ED46D2" w:rsidP="00F1517F">
      <w:pPr>
        <w:spacing w:line="480" w:lineRule="auto"/>
        <w:ind w:firstLine="720"/>
        <w:rPr>
          <w:b/>
        </w:rPr>
      </w:pPr>
      <w:r w:rsidRPr="00C4567C">
        <w:rPr>
          <w:b/>
        </w:rPr>
        <w:t>1.  No Prior Record (Std. 1.6(a))</w:t>
      </w:r>
    </w:p>
    <w:p w:rsidR="002324DD" w:rsidRDefault="00ED46D2" w:rsidP="00F1517F">
      <w:pPr>
        <w:spacing w:line="480" w:lineRule="auto"/>
        <w:ind w:firstLine="720"/>
        <w:rPr>
          <w:szCs w:val="24"/>
        </w:rPr>
      </w:pPr>
      <w:r>
        <w:t xml:space="preserve">The hearing judge gave </w:t>
      </w:r>
      <w:r w:rsidR="0061539B">
        <w:t xml:space="preserve">only </w:t>
      </w:r>
      <w:r>
        <w:t xml:space="preserve">minimal mitigation credit to </w:t>
      </w:r>
      <w:proofErr w:type="spellStart"/>
      <w:r>
        <w:t>Lingwood</w:t>
      </w:r>
      <w:proofErr w:type="spellEnd"/>
      <w:r>
        <w:t xml:space="preserve"> for her 15 ye</w:t>
      </w:r>
      <w:r w:rsidR="002324DD">
        <w:t xml:space="preserve">ars of discipline-free practice because her conduct was serious </w:t>
      </w:r>
      <w:r w:rsidR="00CF2E66">
        <w:t xml:space="preserve">and she displayed a lack of insight.  </w:t>
      </w:r>
      <w:r w:rsidR="00CF2E66">
        <w:rPr>
          <w:szCs w:val="24"/>
        </w:rPr>
        <w:t xml:space="preserve">The judge cited </w:t>
      </w:r>
      <w:r w:rsidR="00CF2E66">
        <w:rPr>
          <w:i/>
          <w:szCs w:val="24"/>
        </w:rPr>
        <w:t>Cooper v. State Bar</w:t>
      </w:r>
      <w:r w:rsidR="00CF2E66">
        <w:rPr>
          <w:szCs w:val="24"/>
        </w:rPr>
        <w:t xml:space="preserve"> (1987) 43 Cal.3d 1016, 1029, and relied on a former version of standard 1.6(a) that included an analysis of the seriousness of an attorney’s misconduct.  Current standard 1.6(a) offers mitigation where there is an “absence of any prior record of discipline over many years of practice coupled with present misconduct which is not likely to recur.”  </w:t>
      </w:r>
    </w:p>
    <w:p w:rsidR="002B1381" w:rsidRDefault="001532E6" w:rsidP="002B1381">
      <w:pPr>
        <w:spacing w:line="480" w:lineRule="auto"/>
        <w:ind w:firstLine="720"/>
        <w:rPr>
          <w:rFonts w:eastAsia="Times New Roman"/>
          <w:color w:val="000000"/>
          <w:szCs w:val="24"/>
        </w:rPr>
      </w:pPr>
      <w:r>
        <w:rPr>
          <w:szCs w:val="24"/>
        </w:rPr>
        <w:t>W</w:t>
      </w:r>
      <w:r w:rsidR="00B71CA3">
        <w:rPr>
          <w:szCs w:val="24"/>
        </w:rPr>
        <w:t xml:space="preserve">e do not find that </w:t>
      </w:r>
      <w:proofErr w:type="spellStart"/>
      <w:r w:rsidR="00B71CA3">
        <w:rPr>
          <w:szCs w:val="24"/>
        </w:rPr>
        <w:t>Lingwood</w:t>
      </w:r>
      <w:proofErr w:type="spellEnd"/>
      <w:r w:rsidR="00B71CA3">
        <w:rPr>
          <w:szCs w:val="24"/>
        </w:rPr>
        <w:t xml:space="preserve"> lacked insight</w:t>
      </w:r>
      <w:r>
        <w:rPr>
          <w:szCs w:val="24"/>
        </w:rPr>
        <w:t>.</w:t>
      </w:r>
      <w:r w:rsidR="002B1381">
        <w:rPr>
          <w:szCs w:val="24"/>
        </w:rPr>
        <w:t xml:space="preserve">  </w:t>
      </w:r>
      <w:r>
        <w:rPr>
          <w:szCs w:val="24"/>
        </w:rPr>
        <w:t>Her</w:t>
      </w:r>
      <w:r w:rsidR="002B1381">
        <w:rPr>
          <w:szCs w:val="24"/>
        </w:rPr>
        <w:t xml:space="preserve"> misconduct was limited to a single incident in which she failed to take all of the proper steps before entering into </w:t>
      </w:r>
      <w:r w:rsidR="00F4264B">
        <w:rPr>
          <w:szCs w:val="24"/>
        </w:rPr>
        <w:t>a</w:t>
      </w:r>
      <w:r w:rsidR="002B1381">
        <w:rPr>
          <w:szCs w:val="24"/>
        </w:rPr>
        <w:t xml:space="preserve"> loan.  </w:t>
      </w:r>
      <w:r>
        <w:rPr>
          <w:szCs w:val="24"/>
        </w:rPr>
        <w:t>She</w:t>
      </w:r>
      <w:r w:rsidR="002B1381">
        <w:rPr>
          <w:szCs w:val="24"/>
        </w:rPr>
        <w:t xml:space="preserve"> apologized for her actions and no other facts suggest that </w:t>
      </w:r>
      <w:r w:rsidR="009D13FB">
        <w:rPr>
          <w:szCs w:val="24"/>
        </w:rPr>
        <w:t>she</w:t>
      </w:r>
      <w:r w:rsidR="002B1381">
        <w:rPr>
          <w:szCs w:val="24"/>
        </w:rPr>
        <w:t xml:space="preserve"> is likely to repeat her present misconduct.</w:t>
      </w:r>
      <w:r w:rsidR="00F4264B">
        <w:rPr>
          <w:szCs w:val="24"/>
        </w:rPr>
        <w:t xml:space="preserve">  Therefore, we conclude that </w:t>
      </w:r>
      <w:proofErr w:type="spellStart"/>
      <w:r w:rsidR="00F4264B">
        <w:rPr>
          <w:szCs w:val="24"/>
        </w:rPr>
        <w:t>Lingwood</w:t>
      </w:r>
      <w:proofErr w:type="spellEnd"/>
      <w:r w:rsidR="00F4264B">
        <w:rPr>
          <w:szCs w:val="24"/>
        </w:rPr>
        <w:t xml:space="preserve"> is entitled to substantial weight in mitigation for her 15 years of discipline-free practice.</w:t>
      </w:r>
      <w:r w:rsidR="009D13FB">
        <w:rPr>
          <w:szCs w:val="24"/>
        </w:rPr>
        <w:t xml:space="preserve">  </w:t>
      </w:r>
      <w:r w:rsidR="009D13FB">
        <w:rPr>
          <w:rFonts w:eastAsia="Times New Roman"/>
          <w:color w:val="000000"/>
          <w:szCs w:val="24"/>
        </w:rPr>
        <w:t>(</w:t>
      </w:r>
      <w:r w:rsidR="009D13FB" w:rsidRPr="003F04E4">
        <w:rPr>
          <w:rFonts w:eastAsia="Times New Roman"/>
          <w:i/>
          <w:color w:val="000000"/>
          <w:szCs w:val="24"/>
        </w:rPr>
        <w:t>Hawes v. State Bar</w:t>
      </w:r>
      <w:r w:rsidR="009D13FB">
        <w:rPr>
          <w:rFonts w:eastAsia="Times New Roman"/>
          <w:color w:val="000000"/>
          <w:szCs w:val="24"/>
        </w:rPr>
        <w:t> (1990) 51 </w:t>
      </w:r>
      <w:r w:rsidR="009D13FB" w:rsidRPr="003F04E4">
        <w:rPr>
          <w:rFonts w:eastAsia="Times New Roman"/>
          <w:color w:val="000000"/>
          <w:szCs w:val="24"/>
        </w:rPr>
        <w:t>Cal.3d 587, 596</w:t>
      </w:r>
      <w:r w:rsidR="009D13FB">
        <w:rPr>
          <w:rFonts w:eastAsia="Times New Roman"/>
          <w:color w:val="000000"/>
          <w:szCs w:val="24"/>
        </w:rPr>
        <w:t xml:space="preserve"> [substantial mitigation where attorney practiced over 10 years before first act of misconduct and misconduct not likely to recur].)  </w:t>
      </w:r>
    </w:p>
    <w:p w:rsidR="003F3282" w:rsidRPr="00C4567C" w:rsidRDefault="003F3282" w:rsidP="00F1517F">
      <w:pPr>
        <w:spacing w:line="480" w:lineRule="auto"/>
        <w:ind w:firstLine="720"/>
        <w:rPr>
          <w:b/>
          <w:szCs w:val="24"/>
        </w:rPr>
      </w:pPr>
      <w:r w:rsidRPr="00C4567C">
        <w:rPr>
          <w:b/>
          <w:szCs w:val="24"/>
        </w:rPr>
        <w:t xml:space="preserve">2.  </w:t>
      </w:r>
      <w:r w:rsidR="00075DED" w:rsidRPr="00C4567C">
        <w:rPr>
          <w:b/>
          <w:szCs w:val="24"/>
        </w:rPr>
        <w:t>Cooperation with</w:t>
      </w:r>
      <w:r w:rsidRPr="00C4567C">
        <w:rPr>
          <w:b/>
          <w:szCs w:val="24"/>
        </w:rPr>
        <w:t xml:space="preserve"> the State Bar (Std. 1.6(e)) </w:t>
      </w:r>
    </w:p>
    <w:p w:rsidR="009A1BEC" w:rsidRDefault="00075DED" w:rsidP="00F1517F">
      <w:pPr>
        <w:spacing w:line="480" w:lineRule="auto"/>
        <w:ind w:firstLine="720"/>
        <w:rPr>
          <w:szCs w:val="24"/>
        </w:rPr>
      </w:pPr>
      <w:r>
        <w:rPr>
          <w:szCs w:val="24"/>
        </w:rPr>
        <w:t>Spontaneous cooperation with the State Bar is a mitigating circumstance.  (Std.</w:t>
      </w:r>
      <w:r w:rsidR="00C4567C">
        <w:rPr>
          <w:szCs w:val="24"/>
        </w:rPr>
        <w:t> </w:t>
      </w:r>
      <w:r>
        <w:rPr>
          <w:szCs w:val="24"/>
        </w:rPr>
        <w:t xml:space="preserve">1.6(e).)  </w:t>
      </w:r>
      <w:r w:rsidR="003F3282">
        <w:rPr>
          <w:szCs w:val="24"/>
        </w:rPr>
        <w:t xml:space="preserve">The hearing judge assigned limited mitigation for </w:t>
      </w:r>
      <w:proofErr w:type="spellStart"/>
      <w:r w:rsidR="003F3282">
        <w:rPr>
          <w:szCs w:val="24"/>
        </w:rPr>
        <w:t>Lingwood’s</w:t>
      </w:r>
      <w:proofErr w:type="spellEnd"/>
      <w:r w:rsidR="003F3282">
        <w:rPr>
          <w:szCs w:val="24"/>
        </w:rPr>
        <w:t xml:space="preserve"> cooperation </w:t>
      </w:r>
      <w:r w:rsidR="000340E2">
        <w:rPr>
          <w:szCs w:val="24"/>
        </w:rPr>
        <w:t>by</w:t>
      </w:r>
      <w:r w:rsidR="003F3282">
        <w:rPr>
          <w:szCs w:val="24"/>
        </w:rPr>
        <w:t xml:space="preserve"> entering into the Stipulation because she stipulated to facts that were easily proven.</w:t>
      </w:r>
      <w:r w:rsidR="007700BA">
        <w:rPr>
          <w:szCs w:val="24"/>
        </w:rPr>
        <w:t xml:space="preserve">  </w:t>
      </w:r>
      <w:proofErr w:type="spellStart"/>
      <w:r w:rsidR="009A1BEC">
        <w:t>Lingwood</w:t>
      </w:r>
      <w:proofErr w:type="spellEnd"/>
      <w:r w:rsidR="009A1BEC">
        <w:t xml:space="preserve"> </w:t>
      </w:r>
      <w:r w:rsidR="005773B5">
        <w:t>stated in her pretrial statement</w:t>
      </w:r>
      <w:r w:rsidR="009A1BEC">
        <w:t xml:space="preserve"> that she failed to comply with </w:t>
      </w:r>
      <w:r w:rsidR="00360DE3">
        <w:t xml:space="preserve">the </w:t>
      </w:r>
      <w:r w:rsidR="009A1BEC">
        <w:t>Probate Code and rule</w:t>
      </w:r>
      <w:r w:rsidR="00C4567C">
        <w:t> </w:t>
      </w:r>
      <w:r w:rsidR="009A1BEC">
        <w:t xml:space="preserve">3-300 under counts two and three.  </w:t>
      </w:r>
      <w:r w:rsidR="001532E6">
        <w:t>Again, c</w:t>
      </w:r>
      <w:r w:rsidR="009A1BEC">
        <w:t xml:space="preserve">ounts two and three are the only counts </w:t>
      </w:r>
      <w:r w:rsidR="0052439C">
        <w:t>for which</w:t>
      </w:r>
      <w:r w:rsidR="009A1BEC">
        <w:t xml:space="preserve"> we</w:t>
      </w:r>
      <w:r w:rsidR="0052439C">
        <w:t xml:space="preserve"> find culpability</w:t>
      </w:r>
      <w:r w:rsidR="009A1BEC">
        <w:t xml:space="preserve">.  </w:t>
      </w:r>
      <w:proofErr w:type="spellStart"/>
      <w:r w:rsidR="009A1BEC">
        <w:t>Lingwood</w:t>
      </w:r>
      <w:proofErr w:type="spellEnd"/>
      <w:r>
        <w:t xml:space="preserve"> admitted culpability and facts</w:t>
      </w:r>
      <w:r w:rsidR="00C4567C">
        <w:t>;</w:t>
      </w:r>
      <w:r>
        <w:t xml:space="preserve"> therefore, we assign </w:t>
      </w:r>
      <w:r w:rsidR="0091338A">
        <w:t>considerable</w:t>
      </w:r>
      <w:r>
        <w:t xml:space="preserve"> weight in mitigation.  (</w:t>
      </w:r>
      <w:r w:rsidRPr="00CC0A78">
        <w:rPr>
          <w:i/>
          <w:iCs/>
        </w:rPr>
        <w:t>In the Matter of Johnson</w:t>
      </w:r>
      <w:r w:rsidRPr="00CC0A78">
        <w:t xml:space="preserve"> (Review Dept. 2000) 4</w:t>
      </w:r>
      <w:r>
        <w:t> </w:t>
      </w:r>
      <w:r w:rsidRPr="00CC0A78">
        <w:t xml:space="preserve">Cal. State Bar Ct. </w:t>
      </w:r>
      <w:proofErr w:type="spellStart"/>
      <w:r w:rsidRPr="00CC0A78">
        <w:t>Rptr</w:t>
      </w:r>
      <w:proofErr w:type="spellEnd"/>
      <w:r w:rsidRPr="00CC0A78">
        <w:t>. 179, 190 [more extensive weight in mitigation accorded those who admit culpability as well as facts</w:t>
      </w:r>
      <w:r>
        <w:t xml:space="preserve">].)  </w:t>
      </w:r>
      <w:r w:rsidR="009A1BEC">
        <w:t xml:space="preserve"> </w:t>
      </w:r>
    </w:p>
    <w:p w:rsidR="003F3282" w:rsidRPr="00C4567C" w:rsidRDefault="003F3282" w:rsidP="00F1517F">
      <w:pPr>
        <w:spacing w:line="480" w:lineRule="auto"/>
        <w:ind w:firstLine="720"/>
        <w:rPr>
          <w:b/>
          <w:szCs w:val="24"/>
        </w:rPr>
      </w:pPr>
      <w:r w:rsidRPr="00C4567C">
        <w:rPr>
          <w:b/>
          <w:szCs w:val="24"/>
        </w:rPr>
        <w:lastRenderedPageBreak/>
        <w:t>3.  Extraordinary Good Character (Std. 1.6(f))</w:t>
      </w:r>
    </w:p>
    <w:p w:rsidR="005C6ACE" w:rsidRDefault="00163A7B" w:rsidP="00A51A73">
      <w:pPr>
        <w:spacing w:line="480" w:lineRule="auto"/>
        <w:ind w:firstLine="720"/>
        <w:rPr>
          <w:szCs w:val="24"/>
        </w:rPr>
      </w:pPr>
      <w:proofErr w:type="spellStart"/>
      <w:r>
        <w:t>Lingwood</w:t>
      </w:r>
      <w:proofErr w:type="spellEnd"/>
      <w:r>
        <w:t xml:space="preserve"> may obtain mitigation for “extraordinary good character attested to by a wide range of references in the legal and general communities, who are aware of the full ex</w:t>
      </w:r>
      <w:r w:rsidR="00C4567C">
        <w:t>tent of the misconduct.”  (Std. </w:t>
      </w:r>
      <w:r>
        <w:t xml:space="preserve">1.6(f).)  </w:t>
      </w:r>
      <w:r w:rsidR="005C6ACE">
        <w:rPr>
          <w:szCs w:val="24"/>
        </w:rPr>
        <w:t xml:space="preserve">The hearing judge did not assign any mitigation for good character because “at least three of the witnesses received entrusted funds” that </w:t>
      </w:r>
      <w:proofErr w:type="spellStart"/>
      <w:r w:rsidR="005C6ACE">
        <w:rPr>
          <w:szCs w:val="24"/>
        </w:rPr>
        <w:t>Lingwood</w:t>
      </w:r>
      <w:proofErr w:type="spellEnd"/>
      <w:r w:rsidR="005C6ACE">
        <w:rPr>
          <w:szCs w:val="24"/>
        </w:rPr>
        <w:t xml:space="preserve"> misappropriated from the Trust.  </w:t>
      </w:r>
      <w:r w:rsidR="001532E6">
        <w:rPr>
          <w:szCs w:val="24"/>
        </w:rPr>
        <w:t>As previously stated, w</w:t>
      </w:r>
      <w:r w:rsidR="00E70EF3">
        <w:rPr>
          <w:szCs w:val="24"/>
        </w:rPr>
        <w:t xml:space="preserve">e do not find that </w:t>
      </w:r>
      <w:r w:rsidR="001532E6">
        <w:rPr>
          <w:szCs w:val="24"/>
        </w:rPr>
        <w:t>she</w:t>
      </w:r>
      <w:r w:rsidR="00E70EF3">
        <w:rPr>
          <w:szCs w:val="24"/>
        </w:rPr>
        <w:t xml:space="preserve"> committed misappropriation.  </w:t>
      </w:r>
      <w:r w:rsidR="005C6ACE">
        <w:rPr>
          <w:szCs w:val="24"/>
        </w:rPr>
        <w:t xml:space="preserve">The judge also found that the witnesses “parroted” </w:t>
      </w:r>
      <w:proofErr w:type="spellStart"/>
      <w:r w:rsidR="005C6ACE">
        <w:rPr>
          <w:szCs w:val="24"/>
        </w:rPr>
        <w:t>Lingwood’s</w:t>
      </w:r>
      <w:proofErr w:type="spellEnd"/>
      <w:r w:rsidR="005C6ACE">
        <w:rPr>
          <w:szCs w:val="24"/>
        </w:rPr>
        <w:t xml:space="preserve"> belief that the funds were a loan.  </w:t>
      </w:r>
      <w:r w:rsidR="00A51A73">
        <w:rPr>
          <w:szCs w:val="24"/>
        </w:rPr>
        <w:t xml:space="preserve">We find that the transaction was </w:t>
      </w:r>
      <w:r w:rsidR="00216825">
        <w:rPr>
          <w:szCs w:val="24"/>
        </w:rPr>
        <w:t>a</w:t>
      </w:r>
      <w:r w:rsidR="00A51A73">
        <w:rPr>
          <w:szCs w:val="24"/>
        </w:rPr>
        <w:t xml:space="preserve"> loan</w:t>
      </w:r>
      <w:r w:rsidR="00C4567C">
        <w:rPr>
          <w:szCs w:val="24"/>
        </w:rPr>
        <w:t>, albeit in violation of rule </w:t>
      </w:r>
      <w:r w:rsidR="00216825">
        <w:rPr>
          <w:szCs w:val="24"/>
        </w:rPr>
        <w:t>3-300,</w:t>
      </w:r>
      <w:r w:rsidR="00A51A73">
        <w:rPr>
          <w:szCs w:val="24"/>
        </w:rPr>
        <w:t xml:space="preserve"> and do not </w:t>
      </w:r>
      <w:r w:rsidR="00360DE3">
        <w:rPr>
          <w:szCs w:val="24"/>
        </w:rPr>
        <w:t>dis</w:t>
      </w:r>
      <w:r w:rsidR="00A51A73">
        <w:rPr>
          <w:szCs w:val="24"/>
        </w:rPr>
        <w:t xml:space="preserve">credit </w:t>
      </w:r>
      <w:r w:rsidR="001532E6">
        <w:rPr>
          <w:szCs w:val="24"/>
        </w:rPr>
        <w:t>her</w:t>
      </w:r>
      <w:r w:rsidR="00A51A73">
        <w:rPr>
          <w:szCs w:val="24"/>
        </w:rPr>
        <w:t xml:space="preserve"> witnesses for calling it as such, especially when the NDC referred to it as a loan.  </w:t>
      </w:r>
      <w:r w:rsidR="005C6ACE">
        <w:rPr>
          <w:szCs w:val="24"/>
        </w:rPr>
        <w:t xml:space="preserve">Further, </w:t>
      </w:r>
      <w:r w:rsidR="00A51A73">
        <w:rPr>
          <w:szCs w:val="24"/>
        </w:rPr>
        <w:t>the hearing judge</w:t>
      </w:r>
      <w:r w:rsidR="005C6ACE">
        <w:rPr>
          <w:szCs w:val="24"/>
        </w:rPr>
        <w:t xml:space="preserve"> found that the witnesses did not represent a wide range of references in the </w:t>
      </w:r>
      <w:r w:rsidR="00A51A73">
        <w:rPr>
          <w:szCs w:val="24"/>
        </w:rPr>
        <w:t xml:space="preserve">legal and general communities.  We disagree as </w:t>
      </w:r>
      <w:r w:rsidR="00360DE3">
        <w:rPr>
          <w:szCs w:val="24"/>
        </w:rPr>
        <w:t>discussed</w:t>
      </w:r>
      <w:r w:rsidR="00A51A73">
        <w:rPr>
          <w:szCs w:val="24"/>
        </w:rPr>
        <w:t xml:space="preserve"> below.</w:t>
      </w:r>
    </w:p>
    <w:p w:rsidR="004E60AE" w:rsidRDefault="000179D5" w:rsidP="00A16EB1">
      <w:pPr>
        <w:spacing w:line="480" w:lineRule="auto"/>
        <w:ind w:firstLine="720"/>
      </w:pPr>
      <w:r>
        <w:rPr>
          <w:szCs w:val="24"/>
        </w:rPr>
        <w:t xml:space="preserve">We give greater weight to </w:t>
      </w:r>
      <w:proofErr w:type="spellStart"/>
      <w:r>
        <w:rPr>
          <w:szCs w:val="24"/>
        </w:rPr>
        <w:t>Lingwood’s</w:t>
      </w:r>
      <w:proofErr w:type="spellEnd"/>
      <w:r>
        <w:rPr>
          <w:szCs w:val="24"/>
        </w:rPr>
        <w:t xml:space="preserve"> good character evidence.  Each of the witnesses had a basic understanding of the charges against her.  </w:t>
      </w:r>
      <w:r w:rsidR="004E60AE">
        <w:rPr>
          <w:szCs w:val="24"/>
        </w:rPr>
        <w:t>(</w:t>
      </w:r>
      <w:r w:rsidR="004E60AE">
        <w:rPr>
          <w:i/>
        </w:rPr>
        <w:t>In re Brown</w:t>
      </w:r>
      <w:r w:rsidR="004E60AE">
        <w:t xml:space="preserve"> (1995) 12 Cal.4th 205, 223 [mitigation considered for attorney’s good character when witnesses aware of misconduct].)</w:t>
      </w:r>
      <w:r w:rsidR="00A16EB1">
        <w:t xml:space="preserve">  </w:t>
      </w:r>
      <w:r w:rsidR="00D45D5D">
        <w:rPr>
          <w:szCs w:val="24"/>
        </w:rPr>
        <w:t>Nine</w:t>
      </w:r>
      <w:r w:rsidR="00326AFD">
        <w:rPr>
          <w:szCs w:val="24"/>
        </w:rPr>
        <w:t xml:space="preserve"> </w:t>
      </w:r>
      <w:r w:rsidR="0078729A">
        <w:rPr>
          <w:szCs w:val="24"/>
        </w:rPr>
        <w:t>character witnes</w:t>
      </w:r>
      <w:r w:rsidR="00A05F17">
        <w:rPr>
          <w:szCs w:val="24"/>
        </w:rPr>
        <w:t xml:space="preserve">ses testified on </w:t>
      </w:r>
      <w:proofErr w:type="spellStart"/>
      <w:r w:rsidR="00A05F17">
        <w:rPr>
          <w:szCs w:val="24"/>
        </w:rPr>
        <w:t>Lingwood’s</w:t>
      </w:r>
      <w:proofErr w:type="spellEnd"/>
      <w:r w:rsidR="00A05F17">
        <w:rPr>
          <w:szCs w:val="24"/>
        </w:rPr>
        <w:t xml:space="preserve"> behalf at trial</w:t>
      </w:r>
      <w:r w:rsidR="00CA3445">
        <w:rPr>
          <w:szCs w:val="24"/>
        </w:rPr>
        <w:t>, including professional colleagues</w:t>
      </w:r>
      <w:r w:rsidR="00D45D5D">
        <w:rPr>
          <w:szCs w:val="24"/>
        </w:rPr>
        <w:t xml:space="preserve">, </w:t>
      </w:r>
      <w:r w:rsidR="00CA3445">
        <w:rPr>
          <w:szCs w:val="24"/>
        </w:rPr>
        <w:t>personal friends</w:t>
      </w:r>
      <w:r w:rsidR="00716D1A">
        <w:rPr>
          <w:szCs w:val="24"/>
        </w:rPr>
        <w:t>,</w:t>
      </w:r>
      <w:r w:rsidR="00D45D5D">
        <w:rPr>
          <w:szCs w:val="24"/>
        </w:rPr>
        <w:t xml:space="preserve"> and a client</w:t>
      </w:r>
      <w:r w:rsidR="00E70EF3">
        <w:rPr>
          <w:szCs w:val="24"/>
        </w:rPr>
        <w:t xml:space="preserve">. </w:t>
      </w:r>
      <w:r w:rsidR="00716D1A">
        <w:rPr>
          <w:szCs w:val="24"/>
        </w:rPr>
        <w:t xml:space="preserve"> </w:t>
      </w:r>
      <w:r>
        <w:rPr>
          <w:szCs w:val="24"/>
        </w:rPr>
        <w:t>Four additional declarants submitted good character statements</w:t>
      </w:r>
      <w:r w:rsidR="00E70EF3">
        <w:rPr>
          <w:szCs w:val="24"/>
        </w:rPr>
        <w:t>.</w:t>
      </w:r>
      <w:r>
        <w:rPr>
          <w:szCs w:val="24"/>
        </w:rPr>
        <w:t xml:space="preserve">  </w:t>
      </w:r>
      <w:r w:rsidR="0078729A">
        <w:rPr>
          <w:szCs w:val="24"/>
        </w:rPr>
        <w:t>One witness, an attorney</w:t>
      </w:r>
      <w:r>
        <w:rPr>
          <w:szCs w:val="24"/>
        </w:rPr>
        <w:t xml:space="preserve"> who has known </w:t>
      </w:r>
      <w:proofErr w:type="spellStart"/>
      <w:r>
        <w:rPr>
          <w:szCs w:val="24"/>
        </w:rPr>
        <w:t>Lingwood</w:t>
      </w:r>
      <w:proofErr w:type="spellEnd"/>
      <w:r>
        <w:rPr>
          <w:szCs w:val="24"/>
        </w:rPr>
        <w:t xml:space="preserve"> for over 25 years</w:t>
      </w:r>
      <w:r w:rsidR="0078729A">
        <w:rPr>
          <w:szCs w:val="24"/>
        </w:rPr>
        <w:t xml:space="preserve">, stated that </w:t>
      </w:r>
      <w:proofErr w:type="spellStart"/>
      <w:r w:rsidR="0078729A">
        <w:rPr>
          <w:szCs w:val="24"/>
        </w:rPr>
        <w:t>Lingwood</w:t>
      </w:r>
      <w:proofErr w:type="spellEnd"/>
      <w:r w:rsidR="0078729A">
        <w:rPr>
          <w:szCs w:val="24"/>
        </w:rPr>
        <w:t xml:space="preserve"> was</w:t>
      </w:r>
      <w:r>
        <w:rPr>
          <w:szCs w:val="24"/>
        </w:rPr>
        <w:t xml:space="preserve"> always</w:t>
      </w:r>
      <w:r w:rsidR="0078729A">
        <w:rPr>
          <w:szCs w:val="24"/>
        </w:rPr>
        <w:t xml:space="preserve"> h</w:t>
      </w:r>
      <w:r w:rsidR="00E70EF3">
        <w:rPr>
          <w:szCs w:val="24"/>
        </w:rPr>
        <w:t>onest and had high integrity.</w:t>
      </w:r>
      <w:r w:rsidR="0078729A">
        <w:rPr>
          <w:szCs w:val="24"/>
        </w:rPr>
        <w:t xml:space="preserve"> </w:t>
      </w:r>
      <w:r w:rsidR="00E70EF3">
        <w:rPr>
          <w:szCs w:val="24"/>
        </w:rPr>
        <w:t xml:space="preserve"> </w:t>
      </w:r>
      <w:r w:rsidR="004E60AE">
        <w:rPr>
          <w:rFonts w:eastAsia="Times New Roman" w:cstheme="minorBidi"/>
          <w:szCs w:val="24"/>
        </w:rPr>
        <w:t>(</w:t>
      </w:r>
      <w:r w:rsidR="004E60AE" w:rsidRPr="005D0432">
        <w:rPr>
          <w:rFonts w:eastAsiaTheme="minorHAnsi" w:cstheme="minorBidi"/>
          <w:i/>
          <w:szCs w:val="24"/>
        </w:rPr>
        <w:t>In the Matter of Brown</w:t>
      </w:r>
      <w:r w:rsidR="004E60AE" w:rsidRPr="005D0432">
        <w:rPr>
          <w:rFonts w:eastAsiaTheme="minorHAnsi" w:cstheme="minorBidi"/>
          <w:szCs w:val="24"/>
        </w:rPr>
        <w:t xml:space="preserve"> (Review Dept. 1993) 2 Cal</w:t>
      </w:r>
      <w:r w:rsidR="004E60AE">
        <w:rPr>
          <w:rFonts w:eastAsiaTheme="minorHAnsi" w:cstheme="minorBidi"/>
          <w:szCs w:val="24"/>
        </w:rPr>
        <w:t xml:space="preserve">. State Bar Ct. </w:t>
      </w:r>
      <w:proofErr w:type="spellStart"/>
      <w:r w:rsidR="004E60AE">
        <w:rPr>
          <w:rFonts w:eastAsiaTheme="minorHAnsi" w:cstheme="minorBidi"/>
          <w:szCs w:val="24"/>
        </w:rPr>
        <w:t>Rptr</w:t>
      </w:r>
      <w:proofErr w:type="spellEnd"/>
      <w:r w:rsidR="004E60AE">
        <w:rPr>
          <w:rFonts w:eastAsiaTheme="minorHAnsi" w:cstheme="minorBidi"/>
          <w:szCs w:val="24"/>
        </w:rPr>
        <w:t>. 309, 319 [</w:t>
      </w:r>
      <w:r w:rsidR="004E60AE" w:rsidRPr="005D0432">
        <w:rPr>
          <w:rFonts w:eastAsiaTheme="minorHAnsi" w:cstheme="minorBidi"/>
          <w:szCs w:val="24"/>
        </w:rPr>
        <w:t>serious consideration given to attorneys’ testimony due to their “strong interest in maintaining the ho</w:t>
      </w:r>
      <w:r w:rsidR="004E60AE">
        <w:rPr>
          <w:rFonts w:eastAsiaTheme="minorHAnsi" w:cstheme="minorBidi"/>
          <w:szCs w:val="24"/>
        </w:rPr>
        <w:t>nest administration of justice”].)</w:t>
      </w:r>
      <w:r w:rsidR="00A16EB1">
        <w:rPr>
          <w:rFonts w:eastAsiaTheme="minorHAnsi" w:cstheme="minorBidi"/>
          <w:szCs w:val="24"/>
        </w:rPr>
        <w:t xml:space="preserve">  </w:t>
      </w:r>
      <w:r w:rsidR="00B65EAF">
        <w:rPr>
          <w:szCs w:val="24"/>
        </w:rPr>
        <w:t xml:space="preserve">The other witnesses expressed the same sentiments, believed </w:t>
      </w:r>
      <w:proofErr w:type="spellStart"/>
      <w:r w:rsidR="00B65EAF">
        <w:rPr>
          <w:szCs w:val="24"/>
        </w:rPr>
        <w:t>Lingwood</w:t>
      </w:r>
      <w:proofErr w:type="spellEnd"/>
      <w:r w:rsidR="00B65EAF">
        <w:rPr>
          <w:szCs w:val="24"/>
        </w:rPr>
        <w:t xml:space="preserve"> had strong moral character, and would continue to recommend </w:t>
      </w:r>
      <w:r w:rsidR="001532E6">
        <w:rPr>
          <w:szCs w:val="24"/>
        </w:rPr>
        <w:t>her</w:t>
      </w:r>
      <w:r w:rsidR="00B65EAF">
        <w:rPr>
          <w:szCs w:val="24"/>
        </w:rPr>
        <w:t xml:space="preserve"> as an attorney.  </w:t>
      </w:r>
      <w:proofErr w:type="spellStart"/>
      <w:r w:rsidR="00A16EB1">
        <w:rPr>
          <w:rFonts w:eastAsiaTheme="minorHAnsi" w:cstheme="minorBidi"/>
          <w:szCs w:val="24"/>
        </w:rPr>
        <w:t>Lingwood’s</w:t>
      </w:r>
      <w:proofErr w:type="spellEnd"/>
      <w:r w:rsidR="00A16EB1">
        <w:rPr>
          <w:rFonts w:eastAsiaTheme="minorHAnsi" w:cstheme="minorBidi"/>
          <w:szCs w:val="24"/>
        </w:rPr>
        <w:t xml:space="preserve"> character witnesses included a wide range of references from people who ha</w:t>
      </w:r>
      <w:r w:rsidR="00B65EAF">
        <w:rPr>
          <w:rFonts w:eastAsiaTheme="minorHAnsi" w:cstheme="minorBidi"/>
          <w:szCs w:val="24"/>
        </w:rPr>
        <w:t xml:space="preserve">d known her for a long time.  Accordingly, substantial mitigating weight is deserved.  </w:t>
      </w:r>
      <w:r w:rsidR="00B65EAF">
        <w:t xml:space="preserve">(See </w:t>
      </w:r>
      <w:r w:rsidR="00B65EAF">
        <w:rPr>
          <w:i/>
        </w:rPr>
        <w:t>In the Matter of Davis</w:t>
      </w:r>
      <w:r w:rsidR="00B65EAF">
        <w:t xml:space="preserve"> (Review Dept. 2003) </w:t>
      </w:r>
      <w:r w:rsidR="00B65EAF">
        <w:lastRenderedPageBreak/>
        <w:t xml:space="preserve">4 Cal. State Bar Ct. </w:t>
      </w:r>
      <w:proofErr w:type="spellStart"/>
      <w:r w:rsidR="00B65EAF">
        <w:t>Rptr</w:t>
      </w:r>
      <w:proofErr w:type="spellEnd"/>
      <w:r w:rsidR="00B65EAF">
        <w:t>. 576, 591–592 [significant mitigation for testimony on issue of good character where witness observed attorney’s “daily conduct and mode of living”].)</w:t>
      </w:r>
    </w:p>
    <w:p w:rsidR="005C6ACE" w:rsidRPr="00977A04" w:rsidRDefault="005C6ACE" w:rsidP="00F1517F">
      <w:pPr>
        <w:spacing w:line="480" w:lineRule="auto"/>
        <w:ind w:firstLine="720"/>
        <w:rPr>
          <w:b/>
          <w:szCs w:val="24"/>
        </w:rPr>
      </w:pPr>
      <w:r w:rsidRPr="00977A04">
        <w:rPr>
          <w:b/>
          <w:szCs w:val="24"/>
        </w:rPr>
        <w:t>4.  Community Service</w:t>
      </w:r>
    </w:p>
    <w:p w:rsidR="005C6ACE" w:rsidRDefault="002C3B2A" w:rsidP="00F1517F">
      <w:pPr>
        <w:spacing w:line="480" w:lineRule="auto"/>
        <w:ind w:firstLine="720"/>
        <w:rPr>
          <w:szCs w:val="24"/>
        </w:rPr>
      </w:pPr>
      <w:r>
        <w:rPr>
          <w:rFonts w:eastAsiaTheme="minorHAnsi" w:cstheme="minorBidi"/>
          <w:szCs w:val="24"/>
        </w:rPr>
        <w:t>C</w:t>
      </w:r>
      <w:r w:rsidRPr="005D0432">
        <w:rPr>
          <w:rFonts w:eastAsiaTheme="minorHAnsi" w:cstheme="minorBidi"/>
          <w:szCs w:val="24"/>
        </w:rPr>
        <w:t xml:space="preserve">ommunity service </w:t>
      </w:r>
      <w:r>
        <w:rPr>
          <w:rFonts w:eastAsiaTheme="minorHAnsi" w:cstheme="minorBidi"/>
          <w:szCs w:val="24"/>
        </w:rPr>
        <w:t>is a</w:t>
      </w:r>
      <w:r w:rsidRPr="005D0432">
        <w:rPr>
          <w:rFonts w:eastAsiaTheme="minorHAnsi" w:cstheme="minorBidi"/>
          <w:szCs w:val="24"/>
        </w:rPr>
        <w:t xml:space="preserve"> mitigating </w:t>
      </w:r>
      <w:r>
        <w:rPr>
          <w:rFonts w:eastAsiaTheme="minorHAnsi" w:cstheme="minorBidi"/>
          <w:szCs w:val="24"/>
        </w:rPr>
        <w:t>circumstance</w:t>
      </w:r>
      <w:r w:rsidRPr="005D0432">
        <w:rPr>
          <w:rFonts w:eastAsiaTheme="minorHAnsi" w:cstheme="minorBidi"/>
          <w:szCs w:val="24"/>
        </w:rPr>
        <w:t>.  (</w:t>
      </w:r>
      <w:r w:rsidRPr="005D0432">
        <w:rPr>
          <w:rFonts w:eastAsiaTheme="minorHAnsi" w:cstheme="minorBidi"/>
          <w:i/>
          <w:szCs w:val="24"/>
        </w:rPr>
        <w:t xml:space="preserve">Calvert v. State Bar </w:t>
      </w:r>
      <w:r w:rsidRPr="005D0432">
        <w:rPr>
          <w:rFonts w:eastAsiaTheme="minorHAnsi" w:cstheme="minorBidi"/>
          <w:szCs w:val="24"/>
        </w:rPr>
        <w:t>(1991) 54 Cal.3d 765, 785</w:t>
      </w:r>
      <w:r>
        <w:rPr>
          <w:rFonts w:eastAsiaTheme="minorHAnsi" w:cstheme="minorBidi"/>
          <w:szCs w:val="24"/>
        </w:rPr>
        <w:t xml:space="preserve">.)  </w:t>
      </w:r>
      <w:r w:rsidR="005C6ACE">
        <w:rPr>
          <w:szCs w:val="24"/>
        </w:rPr>
        <w:t xml:space="preserve">The hearing judge afforded </w:t>
      </w:r>
      <w:proofErr w:type="spellStart"/>
      <w:r w:rsidR="005C6ACE">
        <w:rPr>
          <w:szCs w:val="24"/>
        </w:rPr>
        <w:t>Lingwood</w:t>
      </w:r>
      <w:proofErr w:type="spellEnd"/>
      <w:r w:rsidR="005C6ACE">
        <w:rPr>
          <w:szCs w:val="24"/>
        </w:rPr>
        <w:t xml:space="preserve"> moderate mitigation for her community service endeavors.</w:t>
      </w:r>
      <w:r>
        <w:rPr>
          <w:szCs w:val="24"/>
        </w:rPr>
        <w:t xml:space="preserve">  </w:t>
      </w:r>
      <w:r w:rsidR="004033F7">
        <w:rPr>
          <w:szCs w:val="24"/>
        </w:rPr>
        <w:t xml:space="preserve">We agree.  </w:t>
      </w:r>
      <w:r w:rsidR="005A0289">
        <w:rPr>
          <w:szCs w:val="24"/>
        </w:rPr>
        <w:t xml:space="preserve">Since 2013, </w:t>
      </w:r>
      <w:proofErr w:type="spellStart"/>
      <w:r>
        <w:rPr>
          <w:szCs w:val="24"/>
        </w:rPr>
        <w:t>Lingwood</w:t>
      </w:r>
      <w:proofErr w:type="spellEnd"/>
      <w:r>
        <w:rPr>
          <w:szCs w:val="24"/>
        </w:rPr>
        <w:t xml:space="preserve"> </w:t>
      </w:r>
      <w:r w:rsidR="005A0289">
        <w:rPr>
          <w:szCs w:val="24"/>
        </w:rPr>
        <w:t>has served</w:t>
      </w:r>
      <w:r>
        <w:rPr>
          <w:szCs w:val="24"/>
        </w:rPr>
        <w:t xml:space="preserve"> on the advisory board for the Sunrise Recreation and Park District</w:t>
      </w:r>
      <w:r w:rsidR="009A661F">
        <w:rPr>
          <w:szCs w:val="24"/>
        </w:rPr>
        <w:t xml:space="preserve"> and</w:t>
      </w:r>
      <w:r>
        <w:rPr>
          <w:szCs w:val="24"/>
        </w:rPr>
        <w:t xml:space="preserve"> on the board for her homeowner</w:t>
      </w:r>
      <w:r w:rsidR="00977A04">
        <w:rPr>
          <w:szCs w:val="24"/>
        </w:rPr>
        <w:t>s</w:t>
      </w:r>
      <w:r>
        <w:rPr>
          <w:szCs w:val="24"/>
        </w:rPr>
        <w:t xml:space="preserve">’ association.  In 2004 and 2005, </w:t>
      </w:r>
      <w:proofErr w:type="spellStart"/>
      <w:r>
        <w:rPr>
          <w:szCs w:val="24"/>
        </w:rPr>
        <w:t>Lingwood</w:t>
      </w:r>
      <w:proofErr w:type="spellEnd"/>
      <w:r>
        <w:rPr>
          <w:szCs w:val="24"/>
        </w:rPr>
        <w:t xml:space="preserve"> provided estate planning classes for the Coalition of Conc</w:t>
      </w:r>
      <w:r w:rsidR="009138BD">
        <w:rPr>
          <w:szCs w:val="24"/>
        </w:rPr>
        <w:t>erned Legal Professionals.</w:t>
      </w:r>
    </w:p>
    <w:p w:rsidR="00D46699" w:rsidRPr="00977A04" w:rsidRDefault="00D46699" w:rsidP="00F1517F">
      <w:pPr>
        <w:spacing w:line="480" w:lineRule="auto"/>
        <w:ind w:firstLine="720"/>
        <w:rPr>
          <w:rFonts w:eastAsiaTheme="minorHAnsi" w:cstheme="minorBidi"/>
          <w:b/>
          <w:szCs w:val="24"/>
        </w:rPr>
      </w:pPr>
      <w:r w:rsidRPr="00977A04">
        <w:rPr>
          <w:rFonts w:eastAsiaTheme="minorHAnsi" w:cstheme="minorBidi"/>
          <w:b/>
          <w:szCs w:val="24"/>
        </w:rPr>
        <w:t>5.  Restitution (Std. 1.6(j))</w:t>
      </w:r>
    </w:p>
    <w:p w:rsidR="00A472E5" w:rsidRDefault="00D46699" w:rsidP="009E592B">
      <w:pPr>
        <w:spacing w:line="480" w:lineRule="auto"/>
        <w:ind w:firstLine="720"/>
        <w:rPr>
          <w:szCs w:val="24"/>
        </w:rPr>
      </w:pPr>
      <w:r>
        <w:rPr>
          <w:szCs w:val="24"/>
        </w:rPr>
        <w:t>Restitution is a mitigating circumstance if it is “made without the threat or force of administrative, disciplinary, civil or criminal proceedings.”  (Std. 1.6(j).)  The hearing judge did not ass</w:t>
      </w:r>
      <w:r w:rsidR="00360DE3">
        <w:rPr>
          <w:szCs w:val="24"/>
        </w:rPr>
        <w:t>ign mitigation for restitution</w:t>
      </w:r>
      <w:r>
        <w:rPr>
          <w:szCs w:val="24"/>
        </w:rPr>
        <w:t xml:space="preserve"> and we agree.  </w:t>
      </w:r>
      <w:r w:rsidR="008414DD">
        <w:rPr>
          <w:szCs w:val="24"/>
        </w:rPr>
        <w:t xml:space="preserve">While </w:t>
      </w:r>
      <w:proofErr w:type="spellStart"/>
      <w:r>
        <w:rPr>
          <w:szCs w:val="24"/>
        </w:rPr>
        <w:t>Lingwood</w:t>
      </w:r>
      <w:proofErr w:type="spellEnd"/>
      <w:r>
        <w:rPr>
          <w:szCs w:val="24"/>
        </w:rPr>
        <w:t xml:space="preserve"> </w:t>
      </w:r>
      <w:r w:rsidR="008414DD">
        <w:rPr>
          <w:szCs w:val="24"/>
        </w:rPr>
        <w:t>did make</w:t>
      </w:r>
      <w:r>
        <w:rPr>
          <w:szCs w:val="24"/>
        </w:rPr>
        <w:t xml:space="preserve"> </w:t>
      </w:r>
      <w:r w:rsidR="008414DD">
        <w:rPr>
          <w:szCs w:val="24"/>
        </w:rPr>
        <w:t xml:space="preserve">several </w:t>
      </w:r>
      <w:r>
        <w:rPr>
          <w:szCs w:val="24"/>
        </w:rPr>
        <w:t xml:space="preserve">payments </w:t>
      </w:r>
      <w:r w:rsidR="008414DD">
        <w:rPr>
          <w:szCs w:val="24"/>
        </w:rPr>
        <w:t>before the threat of disciplinary proceedings, she was doing so under the loan terms</w:t>
      </w:r>
      <w:r w:rsidR="008D58EF">
        <w:rPr>
          <w:szCs w:val="24"/>
        </w:rPr>
        <w:t>,</w:t>
      </w:r>
      <w:r w:rsidR="008414DD">
        <w:rPr>
          <w:szCs w:val="24"/>
        </w:rPr>
        <w:t xml:space="preserve"> not as restitution.  </w:t>
      </w:r>
      <w:proofErr w:type="spellStart"/>
      <w:r w:rsidR="008414DD">
        <w:rPr>
          <w:szCs w:val="24"/>
        </w:rPr>
        <w:t>Lingwood</w:t>
      </w:r>
      <w:proofErr w:type="spellEnd"/>
      <w:r w:rsidR="008414DD">
        <w:rPr>
          <w:szCs w:val="24"/>
        </w:rPr>
        <w:t xml:space="preserve"> did not pay off the balance of the loan until after a State Bar complaint was filed.  </w:t>
      </w:r>
      <w:r w:rsidR="001E3F84">
        <w:rPr>
          <w:szCs w:val="24"/>
        </w:rPr>
        <w:t>(</w:t>
      </w:r>
      <w:r w:rsidR="001E3F84">
        <w:rPr>
          <w:i/>
          <w:szCs w:val="24"/>
        </w:rPr>
        <w:t>Hitchcock v. State Bar</w:t>
      </w:r>
      <w:r w:rsidR="001E3F84">
        <w:rPr>
          <w:szCs w:val="24"/>
        </w:rPr>
        <w:t xml:space="preserve"> (1989) 48 Cal.3d 690, 709 [restitution paid under threat or force of disciplinary proceedings does not have any mitigating effect].)</w:t>
      </w:r>
    </w:p>
    <w:p w:rsidR="00720F64" w:rsidRPr="00977A04" w:rsidRDefault="00720F64" w:rsidP="00F1517F">
      <w:pPr>
        <w:spacing w:line="480" w:lineRule="auto"/>
        <w:ind w:firstLine="720"/>
        <w:rPr>
          <w:b/>
          <w:szCs w:val="24"/>
        </w:rPr>
      </w:pPr>
      <w:r w:rsidRPr="00977A04">
        <w:rPr>
          <w:b/>
          <w:szCs w:val="24"/>
        </w:rPr>
        <w:t>6.  Good Faith (Std. 1.6(b))</w:t>
      </w:r>
    </w:p>
    <w:p w:rsidR="00720F64" w:rsidRDefault="00720F64" w:rsidP="00035414">
      <w:pPr>
        <w:spacing w:line="480" w:lineRule="auto"/>
        <w:ind w:firstLine="720"/>
      </w:pPr>
      <w:r>
        <w:t>An attorney may be entitled to mitigation credit if she can establish a “good faith belief that is honestly held and objectively reasonable.”  (</w:t>
      </w:r>
      <w:r w:rsidRPr="00801B35">
        <w:rPr>
          <w:i/>
        </w:rPr>
        <w:t>In the Matter of Rose</w:t>
      </w:r>
      <w:r>
        <w:t xml:space="preserve"> (Review Dept. 1997</w:t>
      </w:r>
      <w:r w:rsidRPr="00801B35">
        <w:t>) 3</w:t>
      </w:r>
      <w:r>
        <w:t> </w:t>
      </w:r>
      <w:r w:rsidRPr="00801B35">
        <w:t xml:space="preserve">Cal. State Bar Ct. </w:t>
      </w:r>
      <w:proofErr w:type="spellStart"/>
      <w:r w:rsidRPr="00801B35">
        <w:t>Rptr</w:t>
      </w:r>
      <w:proofErr w:type="spellEnd"/>
      <w:r w:rsidRPr="00801B35">
        <w:t xml:space="preserve">. </w:t>
      </w:r>
      <w:r>
        <w:t>6</w:t>
      </w:r>
      <w:r w:rsidRPr="00801B35">
        <w:t>4</w:t>
      </w:r>
      <w:r>
        <w:t>6</w:t>
      </w:r>
      <w:r w:rsidRPr="00801B35">
        <w:t xml:space="preserve">, </w:t>
      </w:r>
      <w:r>
        <w:t>653</w:t>
      </w:r>
      <w:r w:rsidRPr="00801B35">
        <w:t xml:space="preserve"> </w:t>
      </w:r>
      <w:r>
        <w:t>[</w:t>
      </w:r>
      <w:r w:rsidRPr="00801B35">
        <w:t xml:space="preserve">good faith </w:t>
      </w:r>
      <w:r>
        <w:t xml:space="preserve">established </w:t>
      </w:r>
      <w:r w:rsidRPr="00801B35">
        <w:t>as mitigating circumstance</w:t>
      </w:r>
      <w:r>
        <w:t xml:space="preserve"> when </w:t>
      </w:r>
      <w:r w:rsidRPr="00801B35">
        <w:t>attorney prove</w:t>
      </w:r>
      <w:r>
        <w:t>s</w:t>
      </w:r>
      <w:r w:rsidRPr="00801B35">
        <w:t xml:space="preserve"> belief w</w:t>
      </w:r>
      <w:r>
        <w:t>as honestly held and reasonable</w:t>
      </w:r>
      <w:r w:rsidRPr="00801B35">
        <w:t>]</w:t>
      </w:r>
      <w:r w:rsidR="008D58EF">
        <w:t xml:space="preserve">.)  </w:t>
      </w:r>
      <w:proofErr w:type="spellStart"/>
      <w:r w:rsidR="00C73852">
        <w:t>Lingwood</w:t>
      </w:r>
      <w:proofErr w:type="spellEnd"/>
      <w:r w:rsidR="00C73852">
        <w:t xml:space="preserve"> </w:t>
      </w:r>
      <w:r w:rsidR="0009797B">
        <w:t>contends</w:t>
      </w:r>
      <w:r w:rsidR="00C73852">
        <w:t xml:space="preserve"> that she should be given mitigation credit for her belief that she had authority to make a loan to herself under the Trust due to the self-dealing clause.  Even though </w:t>
      </w:r>
      <w:r w:rsidR="0009797B">
        <w:t>she</w:t>
      </w:r>
      <w:r w:rsidR="00C73852">
        <w:t xml:space="preserve"> had authority to self-deal</w:t>
      </w:r>
      <w:r w:rsidR="00035414">
        <w:t xml:space="preserve"> under the Trust, </w:t>
      </w:r>
      <w:r w:rsidR="00035414">
        <w:lastRenderedPageBreak/>
        <w:t xml:space="preserve">she was required to follow her duties under the Rules of Professional Conduct and the Probate Code.  </w:t>
      </w:r>
      <w:proofErr w:type="spellStart"/>
      <w:r w:rsidR="0009797B">
        <w:t>Lingwood</w:t>
      </w:r>
      <w:proofErr w:type="spellEnd"/>
      <w:r w:rsidR="00035414">
        <w:t xml:space="preserve"> did not do so</w:t>
      </w:r>
      <w:r w:rsidR="008D58EF">
        <w:t>.  Accordingly, we do not give mitigating credit for good faith.</w:t>
      </w:r>
    </w:p>
    <w:p w:rsidR="003F4A5C" w:rsidRPr="00977A04" w:rsidRDefault="003F4A5C" w:rsidP="00F1517F">
      <w:pPr>
        <w:spacing w:line="480" w:lineRule="auto"/>
        <w:ind w:firstLine="720"/>
        <w:rPr>
          <w:b/>
        </w:rPr>
      </w:pPr>
      <w:r w:rsidRPr="00977A04">
        <w:rPr>
          <w:b/>
        </w:rPr>
        <w:t>7.  Ex</w:t>
      </w:r>
      <w:r w:rsidR="00640C83">
        <w:rPr>
          <w:b/>
        </w:rPr>
        <w:t>treme Emotional Difficulties or</w:t>
      </w:r>
      <w:r w:rsidRPr="00977A04">
        <w:rPr>
          <w:b/>
        </w:rPr>
        <w:t xml:space="preserve"> Physical and Mental Disabilities (Std. 1.6(d))</w:t>
      </w:r>
    </w:p>
    <w:p w:rsidR="003F4A5C" w:rsidRDefault="003F4A5C" w:rsidP="00F1517F">
      <w:pPr>
        <w:spacing w:line="480" w:lineRule="auto"/>
        <w:ind w:firstLine="720"/>
        <w:rPr>
          <w:szCs w:val="24"/>
        </w:rPr>
      </w:pPr>
      <w:proofErr w:type="spellStart"/>
      <w:r>
        <w:t>Lingwood</w:t>
      </w:r>
      <w:proofErr w:type="spellEnd"/>
      <w:r>
        <w:t xml:space="preserve"> requests that we consider her mental state at the time of the misconduct.  </w:t>
      </w:r>
      <w:r w:rsidR="001532E6">
        <w:t>She</w:t>
      </w:r>
      <w:r>
        <w:t xml:space="preserve"> claimed that </w:t>
      </w:r>
      <w:r w:rsidR="004328BD">
        <w:t xml:space="preserve">she was experiencing depression, stress, and other hardships when she took the loan from the Trust.  </w:t>
      </w:r>
      <w:r w:rsidR="004328BD" w:rsidRPr="00D724F8">
        <w:rPr>
          <w:szCs w:val="24"/>
        </w:rPr>
        <w:t>Mitigation is available for extreme emotional difficulties if: (1) </w:t>
      </w:r>
      <w:proofErr w:type="spellStart"/>
      <w:r w:rsidR="004328BD">
        <w:rPr>
          <w:szCs w:val="24"/>
        </w:rPr>
        <w:t>Lingwood</w:t>
      </w:r>
      <w:proofErr w:type="spellEnd"/>
      <w:r w:rsidR="004328BD" w:rsidRPr="00D724F8">
        <w:rPr>
          <w:szCs w:val="24"/>
        </w:rPr>
        <w:t xml:space="preserve"> suffered from them at the time of </w:t>
      </w:r>
      <w:r w:rsidR="004328BD">
        <w:rPr>
          <w:szCs w:val="24"/>
        </w:rPr>
        <w:t>her</w:t>
      </w:r>
      <w:r w:rsidR="004328BD" w:rsidRPr="00D724F8">
        <w:rPr>
          <w:szCs w:val="24"/>
        </w:rPr>
        <w:t xml:space="preserve"> misconduct; (2) </w:t>
      </w:r>
      <w:r w:rsidR="004328BD">
        <w:rPr>
          <w:szCs w:val="24"/>
        </w:rPr>
        <w:t xml:space="preserve">expert testimony establishes they were </w:t>
      </w:r>
      <w:r w:rsidR="004328BD" w:rsidRPr="00D724F8">
        <w:rPr>
          <w:szCs w:val="24"/>
        </w:rPr>
        <w:t>directly responsible for the misconduct; and (3) </w:t>
      </w:r>
      <w:r w:rsidR="004328BD">
        <w:rPr>
          <w:szCs w:val="24"/>
        </w:rPr>
        <w:t xml:space="preserve">the difficulties </w:t>
      </w:r>
      <w:r w:rsidR="004328BD" w:rsidRPr="00D724F8">
        <w:rPr>
          <w:szCs w:val="24"/>
        </w:rPr>
        <w:t xml:space="preserve">no longer pose a risk </w:t>
      </w:r>
      <w:r w:rsidR="004328BD">
        <w:rPr>
          <w:szCs w:val="24"/>
        </w:rPr>
        <w:t xml:space="preserve">that </w:t>
      </w:r>
      <w:r w:rsidR="001532E6">
        <w:rPr>
          <w:szCs w:val="24"/>
        </w:rPr>
        <w:t>she</w:t>
      </w:r>
      <w:r w:rsidR="004328BD">
        <w:rPr>
          <w:szCs w:val="24"/>
        </w:rPr>
        <w:t xml:space="preserve"> will commit future misconduct.  No clear and convincing evidence was presented at trial establishing that </w:t>
      </w:r>
      <w:proofErr w:type="spellStart"/>
      <w:r w:rsidR="004328BD">
        <w:rPr>
          <w:szCs w:val="24"/>
        </w:rPr>
        <w:t>Lingwood</w:t>
      </w:r>
      <w:proofErr w:type="spellEnd"/>
      <w:r w:rsidR="004328BD">
        <w:rPr>
          <w:szCs w:val="24"/>
        </w:rPr>
        <w:t xml:space="preserve"> suffered from a condition that was directly responsible for </w:t>
      </w:r>
      <w:r w:rsidR="00A03F34">
        <w:rPr>
          <w:szCs w:val="24"/>
        </w:rPr>
        <w:t>her</w:t>
      </w:r>
      <w:r w:rsidR="004328BD">
        <w:rPr>
          <w:szCs w:val="24"/>
        </w:rPr>
        <w:t xml:space="preserve"> misconduct.  Therefore, we assign no mitigation credit for emotional difficulties.</w:t>
      </w:r>
    </w:p>
    <w:p w:rsidR="001E3F84" w:rsidRPr="001E3F84" w:rsidRDefault="001E3F84" w:rsidP="001E3F84">
      <w:pPr>
        <w:spacing w:line="480" w:lineRule="auto"/>
        <w:jc w:val="center"/>
        <w:rPr>
          <w:b/>
          <w:szCs w:val="24"/>
        </w:rPr>
      </w:pPr>
      <w:r w:rsidRPr="001E3F84">
        <w:rPr>
          <w:b/>
          <w:szCs w:val="24"/>
        </w:rPr>
        <w:t>V.  DISCIPLINE</w:t>
      </w:r>
    </w:p>
    <w:p w:rsidR="001E3F84" w:rsidRDefault="001E3F84" w:rsidP="001E3F84">
      <w:pPr>
        <w:spacing w:line="480" w:lineRule="auto"/>
        <w:ind w:firstLine="720"/>
        <w:rPr>
          <w:szCs w:val="24"/>
        </w:rPr>
      </w:pP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w:t>
      </w:r>
      <w:r>
        <w:t xml:space="preserve">s.  (Std. 1.1.)  </w:t>
      </w:r>
      <w:r w:rsidRPr="001223A2">
        <w:rPr>
          <w:rFonts w:eastAsia="Times New Roman"/>
          <w:szCs w:val="24"/>
        </w:rPr>
        <w:t>Our disciplinary analysis begins with the standards.  While they are guidelines for discipline and are not mandatory, we give them great weight to promote consistency.  (</w:t>
      </w:r>
      <w:r w:rsidRPr="001223A2">
        <w:rPr>
          <w:rFonts w:eastAsia="Times New Roman"/>
          <w:i/>
          <w:szCs w:val="24"/>
        </w:rPr>
        <w:t>In re Silverton</w:t>
      </w:r>
      <w:r w:rsidRPr="001223A2">
        <w:rPr>
          <w:rFonts w:eastAsia="Times New Roman"/>
          <w:szCs w:val="24"/>
        </w:rPr>
        <w:t xml:space="preserve"> (2005) 36</w:t>
      </w:r>
      <w:r>
        <w:rPr>
          <w:rFonts w:eastAsia="Times New Roman"/>
          <w:szCs w:val="24"/>
        </w:rPr>
        <w:t> </w:t>
      </w:r>
      <w:r w:rsidRPr="001223A2">
        <w:rPr>
          <w:rFonts w:eastAsia="Times New Roman"/>
          <w:szCs w:val="24"/>
        </w:rPr>
        <w:t>Cal.4th 81, 91</w:t>
      </w:r>
      <w:r>
        <w:rPr>
          <w:rFonts w:eastAsia="Times New Roman"/>
          <w:szCs w:val="24"/>
        </w:rPr>
        <w:t>–</w:t>
      </w:r>
      <w:r w:rsidRPr="001223A2">
        <w:rPr>
          <w:rFonts w:eastAsia="Times New Roman"/>
          <w:szCs w:val="24"/>
        </w:rPr>
        <w:t xml:space="preserve">92.)  </w:t>
      </w:r>
      <w:r>
        <w:rPr>
          <w:rFonts w:eastAsia="Times New Roman"/>
          <w:szCs w:val="24"/>
        </w:rPr>
        <w:t>T</w:t>
      </w:r>
      <w:r w:rsidRPr="001223A2">
        <w:rPr>
          <w:rFonts w:eastAsia="Times New Roman"/>
          <w:szCs w:val="24"/>
        </w:rPr>
        <w:t>he Supreme Court has instructed us to follow the standards “</w:t>
      </w:r>
      <w:r w:rsidRPr="001223A2">
        <w:rPr>
          <w:szCs w:val="24"/>
        </w:rPr>
        <w:t>whenever possible</w:t>
      </w:r>
      <w:r>
        <w:rPr>
          <w:szCs w:val="24"/>
        </w:rPr>
        <w:t>.</w:t>
      </w:r>
      <w:r w:rsidRPr="001223A2">
        <w:rPr>
          <w:szCs w:val="24"/>
        </w:rPr>
        <w:t xml:space="preserve">” </w:t>
      </w:r>
      <w:r>
        <w:rPr>
          <w:szCs w:val="24"/>
        </w:rPr>
        <w:t xml:space="preserve"> </w:t>
      </w:r>
      <w:r w:rsidRPr="001223A2">
        <w:rPr>
          <w:szCs w:val="24"/>
        </w:rPr>
        <w:t>(</w:t>
      </w:r>
      <w:r w:rsidRPr="001223A2">
        <w:rPr>
          <w:rFonts w:eastAsia="Times New Roman"/>
          <w:i/>
          <w:szCs w:val="24"/>
        </w:rPr>
        <w:t>In re Young</w:t>
      </w:r>
      <w:r w:rsidRPr="001223A2">
        <w:rPr>
          <w:rFonts w:eastAsia="Times New Roman"/>
          <w:szCs w:val="24"/>
        </w:rPr>
        <w:t xml:space="preserve"> (1989) 49 Cal.3d 257, 267, fn.</w:t>
      </w:r>
      <w:r>
        <w:rPr>
          <w:rFonts w:eastAsia="Times New Roman"/>
          <w:szCs w:val="24"/>
        </w:rPr>
        <w:t> </w:t>
      </w:r>
      <w:r w:rsidRPr="001223A2">
        <w:rPr>
          <w:rFonts w:eastAsia="Times New Roman"/>
          <w:szCs w:val="24"/>
        </w:rPr>
        <w:t>11</w:t>
      </w:r>
      <w:r>
        <w:rPr>
          <w:rFonts w:eastAsia="Times New Roman"/>
          <w:szCs w:val="24"/>
        </w:rPr>
        <w:t>.</w:t>
      </w:r>
      <w:r w:rsidRPr="001223A2">
        <w:rPr>
          <w:szCs w:val="24"/>
        </w:rPr>
        <w:t>)</w:t>
      </w:r>
      <w:r>
        <w:rPr>
          <w:szCs w:val="24"/>
        </w:rPr>
        <w:t xml:space="preserve">  We</w:t>
      </w:r>
      <w:r w:rsidRPr="001223A2">
        <w:rPr>
          <w:szCs w:val="24"/>
        </w:rPr>
        <w:t xml:space="preserve"> also look to comparable case law for guidance.  (See </w:t>
      </w:r>
      <w:r w:rsidRPr="001223A2">
        <w:rPr>
          <w:i/>
          <w:szCs w:val="24"/>
        </w:rPr>
        <w:t>Snyder v. State Bar</w:t>
      </w:r>
      <w:r w:rsidRPr="001223A2">
        <w:rPr>
          <w:szCs w:val="24"/>
        </w:rPr>
        <w:t xml:space="preserve"> (1990) 49</w:t>
      </w:r>
      <w:r>
        <w:rPr>
          <w:szCs w:val="24"/>
        </w:rPr>
        <w:t> </w:t>
      </w:r>
      <w:r w:rsidRPr="001223A2">
        <w:rPr>
          <w:szCs w:val="24"/>
        </w:rPr>
        <w:t>Cal.3d 1302, 1310</w:t>
      </w:r>
      <w:r>
        <w:rPr>
          <w:szCs w:val="24"/>
        </w:rPr>
        <w:t>–</w:t>
      </w:r>
      <w:r w:rsidRPr="001223A2">
        <w:rPr>
          <w:szCs w:val="24"/>
        </w:rPr>
        <w:t>1311.)</w:t>
      </w:r>
    </w:p>
    <w:p w:rsidR="00E270A5" w:rsidRDefault="00BA1E01" w:rsidP="00BA1E01">
      <w:pPr>
        <w:spacing w:line="480" w:lineRule="auto"/>
        <w:ind w:firstLine="720"/>
        <w:rPr>
          <w:rFonts w:eastAsia="Times New Roman"/>
          <w:szCs w:val="24"/>
        </w:rPr>
      </w:pPr>
      <w:r w:rsidRPr="00D55103">
        <w:rPr>
          <w:rFonts w:eastAsia="Times New Roman"/>
          <w:szCs w:val="24"/>
        </w:rPr>
        <w:t xml:space="preserve">In </w:t>
      </w:r>
      <w:r w:rsidRPr="0026447A">
        <w:rPr>
          <w:rFonts w:eastAsia="Times New Roman"/>
          <w:szCs w:val="24"/>
        </w:rPr>
        <w:t>analyzing the applicable standards, we first determine which standard specifies the most severe sanction for the at-issue misconduct.  (Std. 1.7(a) [most severe sanction must be imposed where multiple sanctions apply]</w:t>
      </w:r>
      <w:r w:rsidR="00E270A5">
        <w:rPr>
          <w:rFonts w:eastAsia="Times New Roman"/>
          <w:szCs w:val="24"/>
        </w:rPr>
        <w:t xml:space="preserve">.)  Here, </w:t>
      </w:r>
      <w:r w:rsidRPr="00391011">
        <w:rPr>
          <w:rFonts w:eastAsia="Times New Roman"/>
          <w:szCs w:val="24"/>
        </w:rPr>
        <w:t>di</w:t>
      </w:r>
      <w:r w:rsidR="00E270A5">
        <w:rPr>
          <w:rFonts w:eastAsia="Times New Roman"/>
          <w:szCs w:val="24"/>
        </w:rPr>
        <w:t xml:space="preserve">sbarment or actual suspension are </w:t>
      </w:r>
      <w:r w:rsidR="00EF7EF7">
        <w:rPr>
          <w:rFonts w:eastAsia="Times New Roman"/>
          <w:szCs w:val="24"/>
        </w:rPr>
        <w:t xml:space="preserve">the </w:t>
      </w:r>
      <w:r w:rsidR="00E270A5">
        <w:rPr>
          <w:rFonts w:eastAsia="Times New Roman"/>
          <w:szCs w:val="24"/>
        </w:rPr>
        <w:t>appropriate</w:t>
      </w:r>
      <w:r w:rsidRPr="00391011">
        <w:rPr>
          <w:rFonts w:eastAsia="Times New Roman"/>
          <w:szCs w:val="24"/>
        </w:rPr>
        <w:t xml:space="preserve"> sanction</w:t>
      </w:r>
      <w:r w:rsidR="00E270A5">
        <w:rPr>
          <w:rFonts w:eastAsia="Times New Roman"/>
          <w:szCs w:val="24"/>
        </w:rPr>
        <w:t>s</w:t>
      </w:r>
      <w:r w:rsidRPr="00391011">
        <w:rPr>
          <w:rFonts w:eastAsia="Times New Roman"/>
          <w:szCs w:val="24"/>
        </w:rPr>
        <w:t xml:space="preserve"> </w:t>
      </w:r>
      <w:r w:rsidR="00C608C1">
        <w:rPr>
          <w:rFonts w:eastAsia="Times New Roman"/>
          <w:szCs w:val="24"/>
        </w:rPr>
        <w:t>under standards </w:t>
      </w:r>
      <w:r w:rsidR="00E270A5">
        <w:rPr>
          <w:rFonts w:eastAsia="Times New Roman"/>
          <w:szCs w:val="24"/>
        </w:rPr>
        <w:t xml:space="preserve">2.4 and 2.12(a).  </w:t>
      </w:r>
    </w:p>
    <w:p w:rsidR="006B497D" w:rsidRDefault="00F86AF7" w:rsidP="00BA1E01">
      <w:pPr>
        <w:spacing w:line="480" w:lineRule="auto"/>
        <w:ind w:firstLine="720"/>
      </w:pPr>
      <w:r>
        <w:lastRenderedPageBreak/>
        <w:t xml:space="preserve">On review, </w:t>
      </w:r>
      <w:proofErr w:type="spellStart"/>
      <w:r>
        <w:t>Lingwood</w:t>
      </w:r>
      <w:proofErr w:type="spellEnd"/>
      <w:r>
        <w:t xml:space="preserve"> asserts that disbarment is not warranted by her misconduct.  </w:t>
      </w:r>
      <w:r w:rsidR="006B497D">
        <w:t xml:space="preserve">We agree.  Similar cases involving </w:t>
      </w:r>
      <w:r w:rsidR="0009797B">
        <w:t>failure to comply with rule </w:t>
      </w:r>
      <w:r w:rsidR="006B497D">
        <w:t>3-300 have resulted in actual suspensions of 30 to 60 days.</w:t>
      </w:r>
    </w:p>
    <w:p w:rsidR="00055D3E" w:rsidRDefault="00055D3E" w:rsidP="00055D3E">
      <w:pPr>
        <w:spacing w:line="480" w:lineRule="auto"/>
        <w:ind w:firstLine="720"/>
      </w:pPr>
      <w:r>
        <w:t xml:space="preserve">For instance, </w:t>
      </w:r>
      <w:r>
        <w:rPr>
          <w:i/>
        </w:rPr>
        <w:t>Schneider v. State Bar</w:t>
      </w:r>
      <w:r>
        <w:t xml:space="preserve">, </w:t>
      </w:r>
      <w:r w:rsidRPr="00F86AF7">
        <w:rPr>
          <w:i/>
        </w:rPr>
        <w:t>supra</w:t>
      </w:r>
      <w:r>
        <w:t xml:space="preserve">, 43 Cal.3d 784 involved an attorney acting as </w:t>
      </w:r>
      <w:r w:rsidR="00D565F2">
        <w:t xml:space="preserve">a </w:t>
      </w:r>
      <w:r>
        <w:t>trustee, who made loans to entities in which he had an interest</w:t>
      </w:r>
      <w:r w:rsidR="00162421">
        <w:t xml:space="preserve"> pursuant to clauses in the trusts that </w:t>
      </w:r>
      <w:r w:rsidR="00FD5AC6">
        <w:t>allowed</w:t>
      </w:r>
      <w:r w:rsidR="00162421">
        <w:t xml:space="preserve"> such transactions</w:t>
      </w:r>
      <w:r>
        <w:t>.  However, the court found that the loans were adequately secured or were not at risk.  Schneider also made an intentional misrepresentation to the trustor regarding the status of the loan proceeds.  The loans were repaid with interest before the notice to show cause in the disciplinary case was filed.  Mitigation included 13 years of discipline-free practice, community service, and admission of wrongdoing.  He was actually suspended for 30 days.</w:t>
      </w:r>
    </w:p>
    <w:p w:rsidR="00875BB0" w:rsidRDefault="00055D3E" w:rsidP="00055D3E">
      <w:pPr>
        <w:spacing w:line="480" w:lineRule="auto"/>
        <w:ind w:firstLine="720"/>
      </w:pPr>
      <w:r>
        <w:t xml:space="preserve">We find </w:t>
      </w:r>
      <w:r w:rsidR="00875BB0">
        <w:rPr>
          <w:i/>
        </w:rPr>
        <w:t xml:space="preserve">In the Matter of </w:t>
      </w:r>
      <w:proofErr w:type="spellStart"/>
      <w:r w:rsidR="00875BB0">
        <w:rPr>
          <w:i/>
        </w:rPr>
        <w:t>Hultman</w:t>
      </w:r>
      <w:proofErr w:type="spellEnd"/>
      <w:r w:rsidR="00875BB0">
        <w:t xml:space="preserve">, </w:t>
      </w:r>
      <w:r w:rsidR="00875BB0" w:rsidRPr="00F86AF7">
        <w:rPr>
          <w:i/>
        </w:rPr>
        <w:t>supra</w:t>
      </w:r>
      <w:r w:rsidR="00875BB0">
        <w:t xml:space="preserve">, 3 Cal. State Bar Ct. </w:t>
      </w:r>
      <w:proofErr w:type="spellStart"/>
      <w:r w:rsidR="00875BB0">
        <w:t>Rptr</w:t>
      </w:r>
      <w:proofErr w:type="spellEnd"/>
      <w:r w:rsidR="00875BB0">
        <w:t xml:space="preserve">. 297 </w:t>
      </w:r>
      <w:r>
        <w:t xml:space="preserve">most </w:t>
      </w:r>
      <w:r w:rsidR="009631C5">
        <w:t>instructive</w:t>
      </w:r>
      <w:r>
        <w:t xml:space="preserve">.  </w:t>
      </w:r>
      <w:proofErr w:type="spellStart"/>
      <w:r w:rsidRPr="00055D3E">
        <w:rPr>
          <w:i/>
        </w:rPr>
        <w:t>Hultman</w:t>
      </w:r>
      <w:proofErr w:type="spellEnd"/>
      <w:r>
        <w:t xml:space="preserve"> </w:t>
      </w:r>
      <w:r w:rsidR="00875BB0">
        <w:t>involved an attorney</w:t>
      </w:r>
      <w:r w:rsidR="00D565F2">
        <w:t xml:space="preserve"> acting as a trustee</w:t>
      </w:r>
      <w:r w:rsidR="00875BB0">
        <w:t xml:space="preserve"> who made two loans to hims</w:t>
      </w:r>
      <w:r w:rsidR="00A50426">
        <w:t>elf without complying with rule </w:t>
      </w:r>
      <w:r w:rsidR="00875BB0">
        <w:t>3-300.</w:t>
      </w:r>
      <w:r w:rsidR="00F517B2">
        <w:t xml:space="preserve">  One of the loans was unsecured and both loans provided for payment of interest only, with no due date for payment of the princ</w:t>
      </w:r>
      <w:r w:rsidR="00BA3CE0">
        <w:t xml:space="preserve">ipal.  </w:t>
      </w:r>
      <w:proofErr w:type="spellStart"/>
      <w:r w:rsidR="00D565F2">
        <w:rPr>
          <w:rFonts w:eastAsia="Times New Roman"/>
          <w:szCs w:val="24"/>
        </w:rPr>
        <w:t>Hultman</w:t>
      </w:r>
      <w:proofErr w:type="spellEnd"/>
      <w:r w:rsidR="00D565F2" w:rsidRPr="00B12AD5">
        <w:rPr>
          <w:rFonts w:eastAsia="Times New Roman"/>
          <w:szCs w:val="24"/>
        </w:rPr>
        <w:t xml:space="preserve"> did not provide full disclosure, advise the beneficiaries that they could seek independent counsel, or obtain consent from them or the court to take the loans.  </w:t>
      </w:r>
      <w:r w:rsidR="00BA3CE0">
        <w:t>His misconduct was deemed serious as it involved repeated self-dealing by a trustee where he was</w:t>
      </w:r>
      <w:r w:rsidR="00875BB0">
        <w:t xml:space="preserve"> grossly negligent in filing an inaccurate trust accounting, which amounted to a moral turpitude violation.  </w:t>
      </w:r>
      <w:proofErr w:type="spellStart"/>
      <w:r w:rsidR="00875BB0">
        <w:t>Hultman</w:t>
      </w:r>
      <w:proofErr w:type="spellEnd"/>
      <w:r w:rsidR="00875BB0">
        <w:t xml:space="preserve"> was actually suspended for 60 days.</w:t>
      </w:r>
    </w:p>
    <w:p w:rsidR="00C96D13" w:rsidRDefault="005E14BE" w:rsidP="00C8037E">
      <w:pPr>
        <w:spacing w:line="480" w:lineRule="auto"/>
        <w:ind w:firstLine="720"/>
      </w:pPr>
      <w:r>
        <w:t xml:space="preserve">We find that </w:t>
      </w:r>
      <w:proofErr w:type="spellStart"/>
      <w:r w:rsidR="007C5230">
        <w:t>Lingwood</w:t>
      </w:r>
      <w:proofErr w:type="spellEnd"/>
      <w:r w:rsidR="007C5230">
        <w:t xml:space="preserve"> believed she had the authority to make a loan from the Trust.  </w:t>
      </w:r>
      <w:r w:rsidR="00345C28">
        <w:t>She</w:t>
      </w:r>
      <w:r w:rsidR="008D06C3">
        <w:t xml:space="preserve"> asked Belinda</w:t>
      </w:r>
      <w:r w:rsidR="008D7649">
        <w:t xml:space="preserve"> in an email</w:t>
      </w:r>
      <w:r w:rsidR="008D06C3">
        <w:t xml:space="preserve"> to “agree</w:t>
      </w:r>
      <w:r w:rsidR="008D7649">
        <w:t>,” but only to her characterization of the loan as a prudent investmen</w:t>
      </w:r>
      <w:r w:rsidR="00C71CD8">
        <w:t xml:space="preserve">t.  That is, </w:t>
      </w:r>
      <w:proofErr w:type="spellStart"/>
      <w:r w:rsidR="00C71CD8">
        <w:t>Lingwood</w:t>
      </w:r>
      <w:proofErr w:type="spellEnd"/>
      <w:r w:rsidR="00C71CD8">
        <w:t xml:space="preserve"> </w:t>
      </w:r>
      <w:r w:rsidR="00E270A5">
        <w:t>asked</w:t>
      </w:r>
      <w:r w:rsidR="008D7649">
        <w:t xml:space="preserve"> Belinda if the loan was in the best interest of the Trust estate, not whether </w:t>
      </w:r>
      <w:proofErr w:type="spellStart"/>
      <w:r w:rsidR="008D7649">
        <w:t>Lingwood</w:t>
      </w:r>
      <w:proofErr w:type="spellEnd"/>
      <w:r w:rsidR="008D7649">
        <w:t xml:space="preserve"> had the authority to self-deal under the Trust agreement.  </w:t>
      </w:r>
      <w:proofErr w:type="spellStart"/>
      <w:r w:rsidR="008D7649">
        <w:lastRenderedPageBreak/>
        <w:t>Lingwood</w:t>
      </w:r>
      <w:proofErr w:type="spellEnd"/>
      <w:r w:rsidR="004F3E8F">
        <w:t xml:space="preserve"> told Belinda about the loan and </w:t>
      </w:r>
      <w:r w:rsidR="001532E6">
        <w:t xml:space="preserve">took action </w:t>
      </w:r>
      <w:r w:rsidR="004F3E8F">
        <w:t xml:space="preserve">when she did not receive a response.  </w:t>
      </w:r>
      <w:r w:rsidR="007C5230">
        <w:t xml:space="preserve">She </w:t>
      </w:r>
      <w:r w:rsidR="001C4709">
        <w:t xml:space="preserve">borrowed </w:t>
      </w:r>
      <w:r w:rsidR="007C5230">
        <w:t xml:space="preserve">$60,000 from the Trust, </w:t>
      </w:r>
      <w:r w:rsidR="0050108B">
        <w:t>but before Belinda had responded</w:t>
      </w:r>
      <w:r w:rsidR="0046483B">
        <w:t>.</w:t>
      </w:r>
      <w:r w:rsidR="007C5230">
        <w:t xml:space="preserve">  </w:t>
      </w:r>
    </w:p>
    <w:p w:rsidR="00C8037E" w:rsidRDefault="007C5230" w:rsidP="00C8037E">
      <w:pPr>
        <w:spacing w:line="480" w:lineRule="auto"/>
        <w:ind w:firstLine="720"/>
      </w:pPr>
      <w:proofErr w:type="spellStart"/>
      <w:r>
        <w:t>Lingwood</w:t>
      </w:r>
      <w:proofErr w:type="spellEnd"/>
      <w:r w:rsidR="00C96D13">
        <w:t xml:space="preserve"> always</w:t>
      </w:r>
      <w:r>
        <w:t xml:space="preserve"> considered what she did to be a loan and she acted accordingly.  </w:t>
      </w:r>
      <w:r w:rsidR="001532E6">
        <w:t>She</w:t>
      </w:r>
      <w:r>
        <w:t xml:space="preserve"> </w:t>
      </w:r>
      <w:r w:rsidR="00186F37">
        <w:t xml:space="preserve">executed a </w:t>
      </w:r>
      <w:r w:rsidR="00AA0C02">
        <w:t xml:space="preserve">note secured by a deed of trust on her condominium.  She was </w:t>
      </w:r>
      <w:r w:rsidR="003260F8">
        <w:t xml:space="preserve">forthcoming </w:t>
      </w:r>
      <w:r w:rsidR="00AA0C02">
        <w:t>with Belinda’s attorney about what she had done and provided her with a copy of the note and the deed of trust.</w:t>
      </w:r>
      <w:r w:rsidR="001A0B07">
        <w:t xml:space="preserve">  </w:t>
      </w:r>
      <w:proofErr w:type="spellStart"/>
      <w:r w:rsidR="00A42F0F">
        <w:t>Lingwood’s</w:t>
      </w:r>
      <w:proofErr w:type="spellEnd"/>
      <w:r w:rsidR="00A42F0F">
        <w:t xml:space="preserve"> misconduct was serious, but it was aberrational, involving only one</w:t>
      </w:r>
      <w:r w:rsidR="006434DC">
        <w:t xml:space="preserve"> client</w:t>
      </w:r>
      <w:r w:rsidR="00A42F0F">
        <w:t xml:space="preserve"> matter.  </w:t>
      </w:r>
      <w:r w:rsidR="001A0B07">
        <w:t>She</w:t>
      </w:r>
      <w:r w:rsidR="00A42F0F">
        <w:t xml:space="preserve"> never intended to permanently take the Trust’s money.  She intended to pay the loan back</w:t>
      </w:r>
      <w:r w:rsidR="001532E6">
        <w:t>, which</w:t>
      </w:r>
      <w:r w:rsidR="00A42F0F">
        <w:t xml:space="preserve"> she did.  She has no prior record of discipline and we are impressed with her good character evidence and her community service.  </w:t>
      </w:r>
    </w:p>
    <w:p w:rsidR="00B02006" w:rsidRDefault="001A0B07" w:rsidP="009B2A79">
      <w:pPr>
        <w:spacing w:line="480" w:lineRule="auto"/>
        <w:ind w:firstLine="720"/>
      </w:pPr>
      <w:r>
        <w:t xml:space="preserve">In sum, </w:t>
      </w:r>
      <w:proofErr w:type="spellStart"/>
      <w:r>
        <w:t>Lingwood’s</w:t>
      </w:r>
      <w:proofErr w:type="spellEnd"/>
      <w:r>
        <w:t xml:space="preserve"> breach of her fiduciary duties</w:t>
      </w:r>
      <w:r w:rsidR="00056A8C">
        <w:t xml:space="preserve"> </w:t>
      </w:r>
      <w:r>
        <w:t>warrant</w:t>
      </w:r>
      <w:r w:rsidR="00056A8C">
        <w:t>s</w:t>
      </w:r>
      <w:r>
        <w:t xml:space="preserve"> a term of actual suspension as guided by the case law and </w:t>
      </w:r>
      <w:r w:rsidR="00D44732">
        <w:t xml:space="preserve">consistent with </w:t>
      </w:r>
      <w:r w:rsidR="00C71CD8">
        <w:t xml:space="preserve">the </w:t>
      </w:r>
      <w:r>
        <w:t>standard</w:t>
      </w:r>
      <w:r w:rsidR="00C71CD8">
        <w:t>s</w:t>
      </w:r>
      <w:r>
        <w:t xml:space="preserve">.  </w:t>
      </w:r>
      <w:r w:rsidR="00F8255E">
        <w:t xml:space="preserve">We do not find any moral turpitude violations as the hearing judge did and we reject the judge’s disbarment recommendation.  </w:t>
      </w:r>
      <w:r w:rsidR="00EF7EF7">
        <w:t xml:space="preserve">Finally, as the mitigation is considerable and no aggravation has been found, discipline </w:t>
      </w:r>
      <w:r w:rsidR="00A03AE5">
        <w:t>at</w:t>
      </w:r>
      <w:r w:rsidR="00EF7EF7">
        <w:t xml:space="preserve"> the l</w:t>
      </w:r>
      <w:r w:rsidR="00A03AE5">
        <w:t>ow</w:t>
      </w:r>
      <w:r w:rsidR="00EF7EF7">
        <w:t xml:space="preserve">er end of the spectrum is appropriate.  (Std. 1.7(c).)  </w:t>
      </w:r>
      <w:r w:rsidR="00C8037E">
        <w:rPr>
          <w:szCs w:val="24"/>
        </w:rPr>
        <w:t xml:space="preserve">We believe that </w:t>
      </w:r>
      <w:r w:rsidR="001532E6">
        <w:rPr>
          <w:szCs w:val="24"/>
        </w:rPr>
        <w:t xml:space="preserve">an actual suspension of </w:t>
      </w:r>
      <w:r w:rsidR="00056A8C">
        <w:rPr>
          <w:szCs w:val="24"/>
        </w:rPr>
        <w:t>60 days</w:t>
      </w:r>
      <w:r w:rsidR="001532E6">
        <w:rPr>
          <w:szCs w:val="24"/>
        </w:rPr>
        <w:t xml:space="preserve"> is appropriate</w:t>
      </w:r>
      <w:r w:rsidR="00C8037E">
        <w:rPr>
          <w:szCs w:val="24"/>
        </w:rPr>
        <w:t xml:space="preserve"> to protect the public, the c</w:t>
      </w:r>
      <w:r w:rsidR="00056A8C">
        <w:rPr>
          <w:szCs w:val="24"/>
        </w:rPr>
        <w:t>ourts, and the legal profession</w:t>
      </w:r>
      <w:r w:rsidR="00C8037E">
        <w:rPr>
          <w:szCs w:val="24"/>
        </w:rPr>
        <w:t>.  A</w:t>
      </w:r>
      <w:r w:rsidR="009B096D">
        <w:t>ccordingly, we: (1) </w:t>
      </w:r>
      <w:r w:rsidR="00F8255E">
        <w:t xml:space="preserve">order that </w:t>
      </w:r>
      <w:proofErr w:type="spellStart"/>
      <w:r w:rsidR="00F8255E">
        <w:t>Lingwood’</w:t>
      </w:r>
      <w:r w:rsidR="00C8037E">
        <w:t>s</w:t>
      </w:r>
      <w:proofErr w:type="spellEnd"/>
      <w:r w:rsidR="00C8037E">
        <w:t xml:space="preserve"> involuntar</w:t>
      </w:r>
      <w:r w:rsidR="00F8255E">
        <w:t>y in</w:t>
      </w:r>
      <w:r w:rsidR="009B096D">
        <w:t>active enrollment under section 6007, subdivision </w:t>
      </w:r>
      <w:r w:rsidR="00F8255E">
        <w:t xml:space="preserve">(c)(4), ordered by the hearing judge, effective on </w:t>
      </w:r>
      <w:r w:rsidR="009B096D">
        <w:t>August </w:t>
      </w:r>
      <w:r w:rsidR="002944AA">
        <w:t>20, 2018, be terminated</w:t>
      </w:r>
      <w:r w:rsidR="00C8037E">
        <w:t xml:space="preserve"> and (2) recommend that </w:t>
      </w:r>
      <w:proofErr w:type="spellStart"/>
      <w:r w:rsidR="00C8037E">
        <w:t>Lingwood</w:t>
      </w:r>
      <w:proofErr w:type="spellEnd"/>
      <w:r w:rsidR="00C8037E">
        <w:t xml:space="preserve"> be given credit for the period of her in</w:t>
      </w:r>
      <w:r w:rsidR="007826BC">
        <w:t>active enrollment under section 6007, subdivision </w:t>
      </w:r>
      <w:r w:rsidR="00C8037E">
        <w:t xml:space="preserve">(c)(4), toward the </w:t>
      </w:r>
      <w:r w:rsidR="00B02006">
        <w:t>60-day</w:t>
      </w:r>
      <w:r w:rsidR="00C8037E">
        <w:t xml:space="preserve"> period of actual suspension that we recommend be imposed on her.  </w:t>
      </w:r>
      <w:r w:rsidR="00C8037E" w:rsidRPr="00826930">
        <w:t xml:space="preserve">(See </w:t>
      </w:r>
      <w:r w:rsidR="00C8037E" w:rsidRPr="00826930">
        <w:rPr>
          <w:i/>
        </w:rPr>
        <w:t>In the Matter of Torres</w:t>
      </w:r>
      <w:r w:rsidR="00C8037E" w:rsidRPr="00826930">
        <w:t xml:space="preserve"> (Review Dept. 2000) 4 Cal. State Bar Ct. </w:t>
      </w:r>
      <w:proofErr w:type="spellStart"/>
      <w:r w:rsidR="00C8037E" w:rsidRPr="00826930">
        <w:t>Rptr</w:t>
      </w:r>
      <w:proofErr w:type="spellEnd"/>
      <w:r w:rsidR="00C8037E" w:rsidRPr="00826930">
        <w:t xml:space="preserve">. 138, 143.) </w:t>
      </w:r>
      <w:r w:rsidR="00C8037E">
        <w:t xml:space="preserve"> </w:t>
      </w:r>
    </w:p>
    <w:p w:rsidR="009429BF" w:rsidRDefault="009429BF" w:rsidP="00A1284E">
      <w:pPr>
        <w:spacing w:line="480" w:lineRule="auto"/>
        <w:jc w:val="center"/>
        <w:rPr>
          <w:b/>
          <w:szCs w:val="24"/>
        </w:rPr>
      </w:pPr>
    </w:p>
    <w:p w:rsidR="009429BF" w:rsidRDefault="009429BF" w:rsidP="00A1284E">
      <w:pPr>
        <w:spacing w:line="480" w:lineRule="auto"/>
        <w:jc w:val="center"/>
        <w:rPr>
          <w:b/>
          <w:szCs w:val="24"/>
        </w:rPr>
      </w:pPr>
    </w:p>
    <w:p w:rsidR="009429BF" w:rsidRDefault="009429BF" w:rsidP="00A1284E">
      <w:pPr>
        <w:spacing w:line="480" w:lineRule="auto"/>
        <w:jc w:val="center"/>
        <w:rPr>
          <w:b/>
          <w:szCs w:val="24"/>
        </w:rPr>
      </w:pPr>
    </w:p>
    <w:p w:rsidR="00A1284E" w:rsidRPr="00A1284E" w:rsidRDefault="00A1284E" w:rsidP="00A1284E">
      <w:pPr>
        <w:spacing w:line="480" w:lineRule="auto"/>
        <w:jc w:val="center"/>
        <w:rPr>
          <w:b/>
          <w:szCs w:val="24"/>
        </w:rPr>
      </w:pPr>
      <w:r w:rsidRPr="00A1284E">
        <w:rPr>
          <w:b/>
          <w:szCs w:val="24"/>
        </w:rPr>
        <w:lastRenderedPageBreak/>
        <w:t>VI.  RECOMMENDATION</w:t>
      </w:r>
    </w:p>
    <w:p w:rsidR="00A1284E" w:rsidRDefault="00A1284E" w:rsidP="004A7AF9">
      <w:pPr>
        <w:spacing w:line="480" w:lineRule="auto"/>
        <w:ind w:right="-144" w:firstLine="720"/>
      </w:pPr>
      <w:r>
        <w:t xml:space="preserve">For the foregoing reasons, we recommend that Rita Mae </w:t>
      </w:r>
      <w:proofErr w:type="spellStart"/>
      <w:r>
        <w:t>Lingwood</w:t>
      </w:r>
      <w:proofErr w:type="spellEnd"/>
      <w:r>
        <w:t xml:space="preserve">, State Bar No. 214145, be suspended from the practice of law for </w:t>
      </w:r>
      <w:r w:rsidR="00B02006">
        <w:t>one year</w:t>
      </w:r>
      <w:r>
        <w:t>, that execution of that suspension be stayed, and that she be placed on probation for two years with the following conditions:</w:t>
      </w:r>
    </w:p>
    <w:p w:rsidR="00A1284E" w:rsidRDefault="00A1284E" w:rsidP="004A7AF9">
      <w:pPr>
        <w:pStyle w:val="ListParagraph"/>
        <w:numPr>
          <w:ilvl w:val="0"/>
          <w:numId w:val="20"/>
        </w:numPr>
        <w:ind w:right="-144"/>
        <w:rPr>
          <w:szCs w:val="24"/>
        </w:rPr>
      </w:pPr>
      <w:proofErr w:type="spellStart"/>
      <w:r>
        <w:rPr>
          <w:szCs w:val="24"/>
        </w:rPr>
        <w:t>Lingwood</w:t>
      </w:r>
      <w:proofErr w:type="spellEnd"/>
      <w:r w:rsidRPr="00632FD2">
        <w:rPr>
          <w:szCs w:val="24"/>
        </w:rPr>
        <w:t xml:space="preserve"> must be suspended from the practice of law for the first </w:t>
      </w:r>
      <w:r w:rsidR="00B02006">
        <w:rPr>
          <w:szCs w:val="24"/>
        </w:rPr>
        <w:t>60 days</w:t>
      </w:r>
      <w:r w:rsidRPr="00632FD2">
        <w:rPr>
          <w:szCs w:val="24"/>
        </w:rPr>
        <w:t xml:space="preserve"> of </w:t>
      </w:r>
      <w:r>
        <w:rPr>
          <w:szCs w:val="24"/>
        </w:rPr>
        <w:t>her</w:t>
      </w:r>
      <w:r w:rsidRPr="00632FD2">
        <w:rPr>
          <w:szCs w:val="24"/>
        </w:rPr>
        <w:t xml:space="preserve"> probation</w:t>
      </w:r>
      <w:r>
        <w:rPr>
          <w:szCs w:val="24"/>
        </w:rPr>
        <w:t>.</w:t>
      </w:r>
      <w:r w:rsidR="008575F5">
        <w:rPr>
          <w:szCs w:val="24"/>
        </w:rPr>
        <w:t xml:space="preserve">  However, we recommend that she be given credit for the period of her inactive enrollment under Busine</w:t>
      </w:r>
      <w:r w:rsidR="007826BC">
        <w:rPr>
          <w:szCs w:val="24"/>
        </w:rPr>
        <w:t>ss and Professions Code section 6007, subdivision </w:t>
      </w:r>
      <w:r w:rsidR="008575F5">
        <w:rPr>
          <w:szCs w:val="24"/>
        </w:rPr>
        <w:t xml:space="preserve">(c)(4), toward the recommended </w:t>
      </w:r>
      <w:r w:rsidR="00B02006">
        <w:rPr>
          <w:szCs w:val="24"/>
        </w:rPr>
        <w:t>60-day</w:t>
      </w:r>
      <w:r w:rsidR="008575F5">
        <w:rPr>
          <w:szCs w:val="24"/>
        </w:rPr>
        <w:t xml:space="preserve"> period of actual suspension.  Since </w:t>
      </w:r>
      <w:proofErr w:type="spellStart"/>
      <w:r w:rsidR="008575F5">
        <w:rPr>
          <w:szCs w:val="24"/>
        </w:rPr>
        <w:t>Lingwood</w:t>
      </w:r>
      <w:proofErr w:type="spellEnd"/>
      <w:r w:rsidR="008575F5">
        <w:rPr>
          <w:szCs w:val="24"/>
        </w:rPr>
        <w:t xml:space="preserve"> </w:t>
      </w:r>
      <w:r w:rsidR="00F67190">
        <w:rPr>
          <w:szCs w:val="24"/>
        </w:rPr>
        <w:t>will have</w:t>
      </w:r>
      <w:r w:rsidR="00C71CD8">
        <w:rPr>
          <w:szCs w:val="24"/>
        </w:rPr>
        <w:t xml:space="preserve"> already served more than 60 days </w:t>
      </w:r>
      <w:r w:rsidR="008575F5">
        <w:rPr>
          <w:szCs w:val="24"/>
        </w:rPr>
        <w:t>on inactive enrollment</w:t>
      </w:r>
      <w:r w:rsidR="007826BC">
        <w:rPr>
          <w:szCs w:val="24"/>
        </w:rPr>
        <w:t xml:space="preserve"> as of </w:t>
      </w:r>
      <w:r w:rsidR="00C71CD8">
        <w:rPr>
          <w:szCs w:val="24"/>
        </w:rPr>
        <w:t>the date of this opinion</w:t>
      </w:r>
      <w:r w:rsidR="009E6B12">
        <w:rPr>
          <w:szCs w:val="24"/>
        </w:rPr>
        <w:t>,</w:t>
      </w:r>
      <w:r w:rsidR="008575F5">
        <w:rPr>
          <w:szCs w:val="24"/>
        </w:rPr>
        <w:t xml:space="preserve"> there would be no prospective period of actual suspension in this matter.</w:t>
      </w:r>
    </w:p>
    <w:p w:rsidR="00A1284E" w:rsidRDefault="00A1284E" w:rsidP="004A7AF9">
      <w:pPr>
        <w:pStyle w:val="ListParagraph"/>
        <w:ind w:right="-144"/>
        <w:rPr>
          <w:szCs w:val="24"/>
        </w:rPr>
      </w:pPr>
    </w:p>
    <w:p w:rsidR="00A1284E" w:rsidRPr="00B70631" w:rsidRDefault="00A1284E" w:rsidP="004A7AF9">
      <w:pPr>
        <w:pStyle w:val="ListParagraph"/>
        <w:numPr>
          <w:ilvl w:val="0"/>
          <w:numId w:val="20"/>
        </w:numPr>
        <w:ind w:right="-144"/>
        <w:rPr>
          <w:szCs w:val="24"/>
        </w:rPr>
      </w:pPr>
      <w:r w:rsidRPr="00F226F0">
        <w:rPr>
          <w:rFonts w:eastAsiaTheme="minorHAnsi"/>
        </w:rPr>
        <w:t xml:space="preserve">Within 30 days after the effective date of the Supreme Court order imposing discipline in this matter, </w:t>
      </w:r>
      <w:proofErr w:type="spellStart"/>
      <w:r>
        <w:rPr>
          <w:rFonts w:eastAsiaTheme="minorHAnsi"/>
        </w:rPr>
        <w:t>Lingwood</w:t>
      </w:r>
      <w:proofErr w:type="spellEnd"/>
      <w:r w:rsidRPr="00F226F0">
        <w:rPr>
          <w:rFonts w:eastAsiaTheme="minorHAnsi"/>
          <w:b/>
        </w:rPr>
        <w:t xml:space="preserve"> </w:t>
      </w:r>
      <w:r w:rsidRPr="00F226F0">
        <w:rPr>
          <w:rFonts w:eastAsiaTheme="minorHAnsi"/>
        </w:rPr>
        <w:t xml:space="preserve">must (1) read the California Rules of Professional Conduct (Rules of Professional Conduct) and Business and Professions Code sections 6067, 6068, and 6103 through 6126, and (2) provide a declaration, under penalty of perjury, attesting to </w:t>
      </w:r>
      <w:r>
        <w:rPr>
          <w:rFonts w:eastAsiaTheme="minorHAnsi"/>
        </w:rPr>
        <w:t>her</w:t>
      </w:r>
      <w:r w:rsidRPr="00F226F0">
        <w:rPr>
          <w:rFonts w:eastAsiaTheme="minorHAnsi"/>
        </w:rPr>
        <w:t xml:space="preserve"> compliance with this requirement, to the State Bar’s Office of Probation in Los Angeles (Office of Probation) </w:t>
      </w:r>
      <w:r w:rsidRPr="00F226F0">
        <w:rPr>
          <w:rFonts w:eastAsiaTheme="minorHAnsi"/>
          <w:color w:val="000000" w:themeColor="text1"/>
        </w:rPr>
        <w:t xml:space="preserve">with </w:t>
      </w:r>
      <w:r>
        <w:rPr>
          <w:rFonts w:eastAsiaTheme="minorHAnsi"/>
          <w:color w:val="000000" w:themeColor="text1"/>
        </w:rPr>
        <w:t>her</w:t>
      </w:r>
      <w:r w:rsidRPr="00F226F0">
        <w:rPr>
          <w:rFonts w:eastAsiaTheme="minorHAnsi"/>
          <w:color w:val="000000" w:themeColor="text1"/>
        </w:rPr>
        <w:t xml:space="preserve"> first quarterly report</w:t>
      </w:r>
      <w:r w:rsidRPr="00F226F0">
        <w:rPr>
          <w:rFonts w:eastAsiaTheme="minorHAnsi"/>
        </w:rPr>
        <w:t>.</w:t>
      </w:r>
    </w:p>
    <w:p w:rsidR="00A1284E" w:rsidRPr="00B70631" w:rsidRDefault="00A1284E" w:rsidP="004A7AF9">
      <w:pPr>
        <w:pStyle w:val="ListParagraph"/>
        <w:ind w:right="-144"/>
        <w:rPr>
          <w:szCs w:val="24"/>
        </w:rPr>
      </w:pPr>
    </w:p>
    <w:p w:rsidR="00A1284E" w:rsidRPr="00FD5AC6" w:rsidRDefault="00A1284E" w:rsidP="004A7AF9">
      <w:pPr>
        <w:pStyle w:val="ListParagraph"/>
        <w:numPr>
          <w:ilvl w:val="0"/>
          <w:numId w:val="20"/>
        </w:numPr>
        <w:ind w:right="-144"/>
        <w:rPr>
          <w:szCs w:val="24"/>
        </w:rPr>
      </w:pPr>
      <w:proofErr w:type="spellStart"/>
      <w:r>
        <w:rPr>
          <w:rFonts w:eastAsiaTheme="minorHAnsi"/>
        </w:rPr>
        <w:t>Lingwood</w:t>
      </w:r>
      <w:proofErr w:type="spellEnd"/>
      <w:r w:rsidRPr="00B70631">
        <w:rPr>
          <w:rFonts w:eastAsiaTheme="minorHAnsi"/>
          <w:b/>
        </w:rPr>
        <w:t xml:space="preserve"> </w:t>
      </w:r>
      <w:r w:rsidRPr="00B70631">
        <w:rPr>
          <w:rFonts w:eastAsiaTheme="minorHAnsi"/>
        </w:rPr>
        <w:t xml:space="preserve">must comply with the provisions of the State Bar Act, the Rules of Professional Conduct, and all conditions of </w:t>
      </w:r>
      <w:r>
        <w:rPr>
          <w:rFonts w:eastAsiaTheme="minorHAnsi"/>
        </w:rPr>
        <w:t>her</w:t>
      </w:r>
      <w:r w:rsidRPr="00B70631">
        <w:rPr>
          <w:rFonts w:eastAsiaTheme="minorHAnsi"/>
        </w:rPr>
        <w:t xml:space="preserve"> probation.</w:t>
      </w:r>
    </w:p>
    <w:p w:rsidR="00FD5AC6" w:rsidRPr="001D7B4E" w:rsidRDefault="00FD5AC6" w:rsidP="00FD5AC6">
      <w:pPr>
        <w:pStyle w:val="ListParagraph"/>
        <w:ind w:right="-144"/>
        <w:rPr>
          <w:szCs w:val="24"/>
        </w:rPr>
      </w:pPr>
    </w:p>
    <w:p w:rsidR="00A1284E" w:rsidRPr="00B70631" w:rsidRDefault="00A1284E" w:rsidP="004A7AF9">
      <w:pPr>
        <w:pStyle w:val="ListParagraph"/>
        <w:numPr>
          <w:ilvl w:val="0"/>
          <w:numId w:val="20"/>
        </w:numPr>
        <w:ind w:right="-144"/>
        <w:rPr>
          <w:szCs w:val="24"/>
        </w:rPr>
      </w:pPr>
      <w:r w:rsidRPr="00B70631">
        <w:rPr>
          <w:rFonts w:eastAsiaTheme="minorHAnsi"/>
        </w:rPr>
        <w:t xml:space="preserve">Within 30 days after the effective date of the Supreme Court order imposing discipline in this matter, </w:t>
      </w:r>
      <w:proofErr w:type="spellStart"/>
      <w:r>
        <w:rPr>
          <w:rFonts w:eastAsiaTheme="minorHAnsi"/>
        </w:rPr>
        <w:t>Lingwood</w:t>
      </w:r>
      <w:proofErr w:type="spellEnd"/>
      <w:r w:rsidRPr="00B70631">
        <w:rPr>
          <w:rFonts w:eastAsiaTheme="minorHAnsi"/>
        </w:rPr>
        <w:t xml:space="preserve"> must make certain that the State Bar Attorney Regulation and Consumer Resources Office (ARCR) has </w:t>
      </w:r>
      <w:r>
        <w:rPr>
          <w:rFonts w:eastAsiaTheme="minorHAnsi"/>
        </w:rPr>
        <w:t>her</w:t>
      </w:r>
      <w:r w:rsidRPr="00B70631">
        <w:rPr>
          <w:rFonts w:eastAsiaTheme="minorHAnsi"/>
        </w:rPr>
        <w:t xml:space="preserve"> current office address, email address, and telephone number.  If </w:t>
      </w:r>
      <w:r>
        <w:rPr>
          <w:rFonts w:eastAsiaTheme="minorHAnsi"/>
        </w:rPr>
        <w:t>she does not maintain an office, s</w:t>
      </w:r>
      <w:r w:rsidRPr="00B70631">
        <w:rPr>
          <w:rFonts w:eastAsiaTheme="minorHAnsi"/>
        </w:rPr>
        <w:t xml:space="preserve">he must provide the mailing address, email address, and telephone number to be used for State Bar purposes.  </w:t>
      </w:r>
      <w:proofErr w:type="spellStart"/>
      <w:r>
        <w:rPr>
          <w:rFonts w:eastAsiaTheme="minorHAnsi"/>
        </w:rPr>
        <w:t>Lingwood</w:t>
      </w:r>
      <w:proofErr w:type="spellEnd"/>
      <w:r w:rsidRPr="00B70631">
        <w:rPr>
          <w:rFonts w:eastAsiaTheme="minorHAnsi"/>
        </w:rPr>
        <w:t xml:space="preserve"> must report, in writing, any change in the above information to ARCR, within </w:t>
      </w:r>
      <w:r>
        <w:rPr>
          <w:rFonts w:eastAsiaTheme="minorHAnsi"/>
        </w:rPr>
        <w:t>10</w:t>
      </w:r>
      <w:r w:rsidRPr="00B70631">
        <w:rPr>
          <w:rFonts w:eastAsiaTheme="minorHAnsi"/>
        </w:rPr>
        <w:t xml:space="preserve"> days after such change, in the manner required by that office.</w:t>
      </w:r>
    </w:p>
    <w:p w:rsidR="00A1284E" w:rsidRPr="00B70631" w:rsidRDefault="00A1284E" w:rsidP="004A7AF9">
      <w:pPr>
        <w:pStyle w:val="ListParagraph"/>
        <w:ind w:right="-144"/>
        <w:rPr>
          <w:szCs w:val="24"/>
        </w:rPr>
      </w:pPr>
    </w:p>
    <w:p w:rsidR="00A31EDB" w:rsidRPr="00E301D2" w:rsidRDefault="00A1284E" w:rsidP="004A7AF9">
      <w:pPr>
        <w:pStyle w:val="ListParagraph"/>
        <w:numPr>
          <w:ilvl w:val="0"/>
          <w:numId w:val="20"/>
        </w:numPr>
        <w:ind w:right="-144"/>
        <w:rPr>
          <w:szCs w:val="24"/>
        </w:rPr>
      </w:pPr>
      <w:r w:rsidRPr="00B70631">
        <w:rPr>
          <w:rFonts w:eastAsiaTheme="minorHAnsi"/>
        </w:rPr>
        <w:t xml:space="preserve">Within 15 days after the effective date of the Supreme Court order imposing discipline in this matter, </w:t>
      </w:r>
      <w:proofErr w:type="spellStart"/>
      <w:r>
        <w:rPr>
          <w:rFonts w:eastAsiaTheme="minorHAnsi"/>
        </w:rPr>
        <w:t>Lingwood</w:t>
      </w:r>
      <w:proofErr w:type="spellEnd"/>
      <w:r w:rsidRPr="00B70631">
        <w:rPr>
          <w:rFonts w:eastAsiaTheme="minorHAnsi"/>
        </w:rPr>
        <w:t xml:space="preserve"> must schedule a meeting with </w:t>
      </w:r>
      <w:r>
        <w:rPr>
          <w:rFonts w:eastAsiaTheme="minorHAnsi"/>
        </w:rPr>
        <w:t>her</w:t>
      </w:r>
      <w:r w:rsidRPr="00B70631">
        <w:rPr>
          <w:rFonts w:eastAsiaTheme="minorHAnsi"/>
        </w:rPr>
        <w:t xml:space="preserve"> assigned probation case specialist to discuss the terms and conditions of </w:t>
      </w:r>
      <w:r>
        <w:rPr>
          <w:rFonts w:eastAsiaTheme="minorHAnsi"/>
        </w:rPr>
        <w:t>her</w:t>
      </w:r>
      <w:r w:rsidRPr="00B70631">
        <w:rPr>
          <w:rFonts w:eastAsiaTheme="minorHAnsi"/>
        </w:rPr>
        <w:t xml:space="preserve"> discipline and, within 30 days after the effective date of the court’s order, must participate in such meeting.  Unless otherwise instructed by the Office of Probation, </w:t>
      </w:r>
      <w:r w:rsidR="00206800">
        <w:rPr>
          <w:rFonts w:eastAsiaTheme="minorHAnsi"/>
        </w:rPr>
        <w:t>s</w:t>
      </w:r>
      <w:r>
        <w:rPr>
          <w:rFonts w:eastAsiaTheme="minorHAnsi"/>
        </w:rPr>
        <w:t>he</w:t>
      </w:r>
      <w:r w:rsidRPr="00B70631">
        <w:rPr>
          <w:rFonts w:eastAsiaTheme="minorHAnsi"/>
        </w:rPr>
        <w:t xml:space="preserve"> may meet with the probation case specialist in person or by telephone.  During the probation period, </w:t>
      </w:r>
      <w:proofErr w:type="spellStart"/>
      <w:r w:rsidR="00206800">
        <w:rPr>
          <w:rFonts w:eastAsiaTheme="minorHAnsi"/>
        </w:rPr>
        <w:t>Lingwood</w:t>
      </w:r>
      <w:proofErr w:type="spellEnd"/>
      <w:r w:rsidRPr="00B70631">
        <w:rPr>
          <w:rFonts w:eastAsiaTheme="minorHAnsi"/>
        </w:rPr>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rsidR="00A31EDB" w:rsidRPr="00B70631" w:rsidRDefault="00A31EDB" w:rsidP="004A7AF9">
      <w:pPr>
        <w:pStyle w:val="ListParagraph"/>
        <w:ind w:left="0" w:right="-144"/>
        <w:rPr>
          <w:szCs w:val="24"/>
        </w:rPr>
      </w:pPr>
    </w:p>
    <w:p w:rsidR="00A1284E" w:rsidRPr="00D5690A" w:rsidRDefault="00A1284E" w:rsidP="004A7AF9">
      <w:pPr>
        <w:pStyle w:val="ListParagraph"/>
        <w:numPr>
          <w:ilvl w:val="0"/>
          <w:numId w:val="20"/>
        </w:numPr>
        <w:ind w:right="-144"/>
        <w:rPr>
          <w:szCs w:val="24"/>
        </w:rPr>
      </w:pPr>
      <w:r w:rsidRPr="00B70631">
        <w:rPr>
          <w:rFonts w:eastAsiaTheme="minorHAnsi"/>
        </w:rPr>
        <w:t xml:space="preserve">During </w:t>
      </w:r>
      <w:proofErr w:type="spellStart"/>
      <w:r w:rsidR="00206800">
        <w:rPr>
          <w:rFonts w:eastAsiaTheme="minorHAnsi"/>
        </w:rPr>
        <w:t>Lingwood’s</w:t>
      </w:r>
      <w:proofErr w:type="spellEnd"/>
      <w:r w:rsidRPr="00B70631">
        <w:rPr>
          <w:rFonts w:eastAsiaTheme="minorHAnsi"/>
        </w:rPr>
        <w:t xml:space="preserve"> probation period, the State Bar Court retains jurisdiction over </w:t>
      </w:r>
      <w:r w:rsidR="00206800">
        <w:rPr>
          <w:rFonts w:eastAsiaTheme="minorHAnsi"/>
        </w:rPr>
        <w:t>her</w:t>
      </w:r>
      <w:r w:rsidRPr="00B70631">
        <w:rPr>
          <w:rFonts w:eastAsiaTheme="minorHAnsi"/>
        </w:rPr>
        <w:t xml:space="preserve"> to address issues concerning compliance with probation conditions.  During this period, </w:t>
      </w:r>
      <w:r w:rsidR="00206800">
        <w:rPr>
          <w:rFonts w:eastAsiaTheme="minorHAnsi"/>
        </w:rPr>
        <w:t>sh</w:t>
      </w:r>
      <w:r>
        <w:rPr>
          <w:rFonts w:eastAsiaTheme="minorHAnsi"/>
        </w:rPr>
        <w:t>e</w:t>
      </w:r>
      <w:r w:rsidRPr="00B70631">
        <w:rPr>
          <w:rFonts w:eastAsiaTheme="minorHAnsi"/>
        </w:rPr>
        <w:t xml:space="preserve"> must appear before the State Bar Court as required by the court or by the Office of Probation after written notice mailed to </w:t>
      </w:r>
      <w:r>
        <w:rPr>
          <w:rFonts w:eastAsiaTheme="minorHAnsi"/>
        </w:rPr>
        <w:t>h</w:t>
      </w:r>
      <w:r w:rsidR="00F46963">
        <w:rPr>
          <w:rFonts w:eastAsiaTheme="minorHAnsi"/>
        </w:rPr>
        <w:t>er</w:t>
      </w:r>
      <w:r w:rsidRPr="00B70631">
        <w:rPr>
          <w:rFonts w:eastAsiaTheme="minorHAnsi"/>
        </w:rPr>
        <w:t xml:space="preserve"> official membership address, as provided above.  Subject to the assertion of applicable privileges, </w:t>
      </w:r>
      <w:r w:rsidR="00206800">
        <w:rPr>
          <w:rFonts w:eastAsiaTheme="minorHAnsi"/>
        </w:rPr>
        <w:t>s</w:t>
      </w:r>
      <w:r>
        <w:rPr>
          <w:rFonts w:eastAsiaTheme="minorHAnsi"/>
        </w:rPr>
        <w:t>he</w:t>
      </w:r>
      <w:r w:rsidRPr="00B70631">
        <w:rPr>
          <w:rFonts w:eastAsiaTheme="minorHAnsi"/>
        </w:rPr>
        <w:t xml:space="preserve"> must fully, promptly, and </w:t>
      </w:r>
      <w:r w:rsidRPr="00B70631">
        <w:rPr>
          <w:rFonts w:eastAsiaTheme="minorHAnsi"/>
        </w:rPr>
        <w:lastRenderedPageBreak/>
        <w:t xml:space="preserve">truthfully answer any inquiries by the court and must provide any other information the court requests. </w:t>
      </w:r>
    </w:p>
    <w:p w:rsidR="00A1284E" w:rsidRDefault="00A1284E" w:rsidP="004A7AF9">
      <w:pPr>
        <w:ind w:right="-144"/>
        <w:rPr>
          <w:szCs w:val="24"/>
        </w:rPr>
      </w:pPr>
    </w:p>
    <w:p w:rsidR="00A1284E" w:rsidRPr="00073333" w:rsidRDefault="00A1284E" w:rsidP="004A7AF9">
      <w:pPr>
        <w:pStyle w:val="ListParagraph"/>
        <w:numPr>
          <w:ilvl w:val="0"/>
          <w:numId w:val="20"/>
        </w:numPr>
        <w:ind w:right="-144"/>
        <w:rPr>
          <w:szCs w:val="24"/>
        </w:rPr>
      </w:pPr>
      <w:r w:rsidRPr="00073333">
        <w:rPr>
          <w:szCs w:val="24"/>
        </w:rPr>
        <w:t>Quarterly and Final Reports</w:t>
      </w:r>
    </w:p>
    <w:p w:rsidR="00A1284E" w:rsidRPr="00073333" w:rsidRDefault="00A1284E" w:rsidP="004A7AF9">
      <w:pPr>
        <w:pStyle w:val="ListParagraph"/>
        <w:ind w:right="-144"/>
        <w:rPr>
          <w:szCs w:val="24"/>
        </w:rPr>
      </w:pPr>
    </w:p>
    <w:p w:rsidR="00A1284E" w:rsidRPr="00073333" w:rsidRDefault="00A1284E" w:rsidP="004A7AF9">
      <w:pPr>
        <w:pStyle w:val="ListParagraph"/>
        <w:ind w:right="-144"/>
        <w:rPr>
          <w:szCs w:val="24"/>
        </w:rPr>
      </w:pPr>
      <w:r w:rsidRPr="00073333">
        <w:rPr>
          <w:rFonts w:eastAsiaTheme="minorHAnsi"/>
          <w:b/>
        </w:rPr>
        <w:t>a.  Deadlines for Reports.</w:t>
      </w:r>
      <w:r w:rsidRPr="00073333">
        <w:rPr>
          <w:rFonts w:eastAsiaTheme="minorHAnsi"/>
        </w:rPr>
        <w:t xml:space="preserve">  </w:t>
      </w:r>
      <w:proofErr w:type="spellStart"/>
      <w:r w:rsidR="00206800">
        <w:rPr>
          <w:rFonts w:eastAsiaTheme="minorHAnsi"/>
        </w:rPr>
        <w:t>Lingwood</w:t>
      </w:r>
      <w:proofErr w:type="spellEnd"/>
      <w:r w:rsidRPr="00073333">
        <w:rPr>
          <w:rFonts w:eastAsiaTheme="minorHAnsi"/>
          <w:b/>
        </w:rPr>
        <w:t xml:space="preserve"> </w:t>
      </w:r>
      <w:r w:rsidRPr="00073333">
        <w:rPr>
          <w:rFonts w:eastAsiaTheme="minorHAnsi"/>
        </w:rPr>
        <w:t>must</w:t>
      </w:r>
      <w:r w:rsidRPr="00073333">
        <w:rPr>
          <w:rFonts w:eastAsiaTheme="minorHAnsi"/>
          <w:b/>
        </w:rPr>
        <w:t xml:space="preserve"> </w:t>
      </w:r>
      <w:r w:rsidRPr="00073333">
        <w:rPr>
          <w:rFonts w:eastAsiaTheme="minorHAnsi"/>
        </w:rPr>
        <w:t>submit</w:t>
      </w:r>
      <w:r w:rsidRPr="00073333">
        <w:rPr>
          <w:rFonts w:eastAsiaTheme="minorHAnsi"/>
          <w:b/>
        </w:rPr>
        <w:t xml:space="preserve"> </w:t>
      </w:r>
      <w:r w:rsidRPr="00073333">
        <w:rPr>
          <w:rFonts w:eastAsiaTheme="minorHAnsi"/>
        </w:rPr>
        <w:t>written quarterly reports to the Office of Probation no later than e</w:t>
      </w:r>
      <w:r w:rsidR="007826BC">
        <w:rPr>
          <w:rFonts w:eastAsiaTheme="minorHAnsi"/>
        </w:rPr>
        <w:t>ach January </w:t>
      </w:r>
      <w:r w:rsidRPr="00073333">
        <w:rPr>
          <w:rFonts w:eastAsiaTheme="minorHAnsi"/>
        </w:rPr>
        <w:t>10 (covering October</w:t>
      </w:r>
      <w:r w:rsidR="007826BC">
        <w:rPr>
          <w:rFonts w:eastAsiaTheme="minorHAnsi"/>
        </w:rPr>
        <w:t> 1 through December </w:t>
      </w:r>
      <w:r w:rsidRPr="00073333">
        <w:rPr>
          <w:rFonts w:eastAsiaTheme="minorHAnsi"/>
        </w:rPr>
        <w:t>31 of the prior ye</w:t>
      </w:r>
      <w:r w:rsidR="007826BC">
        <w:rPr>
          <w:rFonts w:eastAsiaTheme="minorHAnsi"/>
        </w:rPr>
        <w:t>ar), April 10 (covering January </w:t>
      </w:r>
      <w:r w:rsidRPr="00073333">
        <w:rPr>
          <w:rFonts w:eastAsiaTheme="minorHAnsi"/>
        </w:rPr>
        <w:t>1 through Mar</w:t>
      </w:r>
      <w:r w:rsidR="007826BC">
        <w:rPr>
          <w:rFonts w:eastAsiaTheme="minorHAnsi"/>
        </w:rPr>
        <w:t>ch 31), July 10 (covering April 1 through June 30), and October </w:t>
      </w:r>
      <w:r w:rsidRPr="00073333">
        <w:rPr>
          <w:rFonts w:eastAsiaTheme="minorHAnsi"/>
        </w:rPr>
        <w:t>10 (covering July</w:t>
      </w:r>
      <w:r w:rsidR="007826BC">
        <w:rPr>
          <w:rFonts w:eastAsiaTheme="minorHAnsi"/>
        </w:rPr>
        <w:t> </w:t>
      </w:r>
      <w:r w:rsidRPr="00073333">
        <w:rPr>
          <w:rFonts w:eastAsiaTheme="minorHAnsi"/>
        </w:rPr>
        <w:t>1 through September</w:t>
      </w:r>
      <w:r w:rsidR="007826BC">
        <w:rPr>
          <w:rFonts w:eastAsiaTheme="minorHAnsi"/>
        </w:rPr>
        <w:t> </w:t>
      </w:r>
      <w:r w:rsidRPr="00073333">
        <w:rPr>
          <w:rFonts w:eastAsiaTheme="minorHAnsi"/>
        </w:rPr>
        <w:t xml:space="preserve">30) within the period of probation.  If the first report would cover less than 30 days, that report must be submitted on the next quarter date and cover the extended deadline.  In addition to all quarterly reports, </w:t>
      </w:r>
      <w:proofErr w:type="spellStart"/>
      <w:r w:rsidR="00206800">
        <w:rPr>
          <w:rFonts w:eastAsiaTheme="minorHAnsi"/>
        </w:rPr>
        <w:t>Lingwood</w:t>
      </w:r>
      <w:proofErr w:type="spellEnd"/>
      <w:r w:rsidRPr="00073333">
        <w:rPr>
          <w:rFonts w:eastAsiaTheme="minorHAnsi"/>
        </w:rPr>
        <w:t xml:space="preserve"> must submit a final report no earlier than 10 days before the last day of the probation period and no later than the last day of the probation period.  </w:t>
      </w:r>
    </w:p>
    <w:p w:rsidR="00A1284E" w:rsidRDefault="00A1284E" w:rsidP="004A7AF9">
      <w:pPr>
        <w:ind w:right="-144" w:firstLine="720"/>
        <w:rPr>
          <w:rFonts w:eastAsiaTheme="minorHAnsi"/>
          <w:b/>
        </w:rPr>
      </w:pPr>
    </w:p>
    <w:p w:rsidR="00A1284E" w:rsidRDefault="00A1284E" w:rsidP="004A7AF9">
      <w:pPr>
        <w:ind w:left="720" w:right="-144"/>
        <w:rPr>
          <w:rFonts w:eastAsiaTheme="minorHAnsi"/>
        </w:rPr>
      </w:pPr>
      <w:r w:rsidRPr="00AD5ED5">
        <w:rPr>
          <w:rFonts w:eastAsiaTheme="minorHAnsi"/>
          <w:b/>
        </w:rPr>
        <w:t>b.</w:t>
      </w:r>
      <w:r w:rsidRPr="00AD5ED5">
        <w:rPr>
          <w:rFonts w:eastAsiaTheme="minorHAnsi"/>
        </w:rPr>
        <w:t xml:space="preserve">  </w:t>
      </w:r>
      <w:r w:rsidRPr="00AD5ED5">
        <w:rPr>
          <w:rFonts w:eastAsiaTheme="minorHAnsi"/>
          <w:b/>
        </w:rPr>
        <w:t>Contents of Reports</w:t>
      </w:r>
      <w:r w:rsidRPr="00AD5ED5">
        <w:rPr>
          <w:rFonts w:eastAsiaTheme="minorHAnsi"/>
        </w:rPr>
        <w:t xml:space="preserve">.  </w:t>
      </w:r>
      <w:proofErr w:type="spellStart"/>
      <w:r w:rsidR="00206800">
        <w:rPr>
          <w:rFonts w:eastAsiaTheme="minorHAnsi"/>
        </w:rPr>
        <w:t>Lingwood</w:t>
      </w:r>
      <w:proofErr w:type="spellEnd"/>
      <w:r w:rsidRPr="00AD5ED5">
        <w:rPr>
          <w:rFonts w:eastAsiaTheme="minorHAnsi"/>
        </w:rPr>
        <w:t xml:space="preserve"> must answer, under penalty of perjury, all inquiries contained in the quarterly report form provided by the Office of Probation, including stating whether </w:t>
      </w:r>
      <w:r w:rsidR="00206800">
        <w:rPr>
          <w:rFonts w:eastAsiaTheme="minorHAnsi"/>
        </w:rPr>
        <w:t>s</w:t>
      </w:r>
      <w:r>
        <w:rPr>
          <w:rFonts w:eastAsiaTheme="minorHAnsi"/>
        </w:rPr>
        <w:t>he</w:t>
      </w:r>
      <w:r w:rsidRPr="00AD5ED5">
        <w:rPr>
          <w:rFonts w:eastAsiaTheme="minorHAnsi"/>
        </w:rPr>
        <w:t xml:space="preserv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rsidR="00A1284E" w:rsidRPr="00AD5ED5" w:rsidRDefault="00A1284E" w:rsidP="004A7AF9">
      <w:pPr>
        <w:ind w:left="720" w:right="-144"/>
        <w:rPr>
          <w:rFonts w:eastAsiaTheme="minorHAnsi"/>
        </w:rPr>
      </w:pPr>
    </w:p>
    <w:p w:rsidR="00A1284E" w:rsidRDefault="00A1284E" w:rsidP="004A7AF9">
      <w:pPr>
        <w:ind w:left="720" w:right="-144"/>
        <w:rPr>
          <w:rFonts w:eastAsiaTheme="minorHAnsi"/>
        </w:rPr>
      </w:pPr>
      <w:r w:rsidRPr="00AD5ED5">
        <w:rPr>
          <w:rFonts w:eastAsiaTheme="minorHAnsi"/>
          <w:b/>
        </w:rPr>
        <w:t>c.</w:t>
      </w:r>
      <w:r w:rsidRPr="00AD5ED5">
        <w:rPr>
          <w:rFonts w:eastAsiaTheme="minorHAnsi"/>
        </w:rPr>
        <w:t xml:space="preserve">  </w:t>
      </w:r>
      <w:r w:rsidRPr="00AD5ED5">
        <w:rPr>
          <w:rFonts w:eastAsiaTheme="minorHAnsi"/>
          <w:b/>
        </w:rPr>
        <w:t xml:space="preserve">Submission of Reports.  </w:t>
      </w:r>
      <w:r w:rsidRPr="00AD5ED5">
        <w:rPr>
          <w:rFonts w:eastAsiaTheme="minorHAnsi"/>
        </w:rPr>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rsidR="00A1284E" w:rsidRDefault="00A1284E" w:rsidP="004A7AF9">
      <w:pPr>
        <w:ind w:left="720" w:right="-144"/>
        <w:rPr>
          <w:rFonts w:eastAsiaTheme="minorHAnsi"/>
        </w:rPr>
      </w:pPr>
    </w:p>
    <w:p w:rsidR="00A1284E" w:rsidRDefault="00A1284E" w:rsidP="004A7AF9">
      <w:pPr>
        <w:ind w:left="720" w:right="-144"/>
        <w:rPr>
          <w:rFonts w:eastAsiaTheme="minorHAnsi"/>
        </w:rPr>
      </w:pPr>
      <w:r w:rsidRPr="00AD5ED5">
        <w:rPr>
          <w:rFonts w:eastAsiaTheme="minorHAnsi"/>
          <w:b/>
        </w:rPr>
        <w:t xml:space="preserve">d.  Proof of Compliance.  </w:t>
      </w:r>
      <w:proofErr w:type="spellStart"/>
      <w:r w:rsidR="00206800">
        <w:rPr>
          <w:rFonts w:eastAsiaTheme="minorHAnsi"/>
        </w:rPr>
        <w:t>Lingwood</w:t>
      </w:r>
      <w:proofErr w:type="spellEnd"/>
      <w:r w:rsidRPr="00AD5ED5">
        <w:rPr>
          <w:rFonts w:eastAsiaTheme="minorHAnsi"/>
        </w:rPr>
        <w:t xml:space="preserve"> is directed to maintain proof of </w:t>
      </w:r>
      <w:r w:rsidR="00206800">
        <w:rPr>
          <w:rFonts w:eastAsiaTheme="minorHAnsi"/>
        </w:rPr>
        <w:t>her</w:t>
      </w:r>
      <w:r w:rsidRPr="00AD5ED5">
        <w:rPr>
          <w:rFonts w:eastAsiaTheme="minorHAnsi"/>
        </w:rPr>
        <w:t xml:space="preserve"> compliance with the above requirements for each such report for a minimum of one year after either the period of probation or the period of </w:t>
      </w:r>
      <w:r w:rsidR="00206800">
        <w:rPr>
          <w:rFonts w:eastAsiaTheme="minorHAnsi"/>
        </w:rPr>
        <w:t>her</w:t>
      </w:r>
      <w:r w:rsidRPr="00AD5ED5">
        <w:rPr>
          <w:rFonts w:eastAsiaTheme="minorHAnsi"/>
        </w:rPr>
        <w:t xml:space="preserve"> actual suspension has ended, whichever is longer.  </w:t>
      </w:r>
      <w:r w:rsidR="00206800">
        <w:rPr>
          <w:rFonts w:eastAsiaTheme="minorHAnsi"/>
        </w:rPr>
        <w:t>She</w:t>
      </w:r>
      <w:r w:rsidRPr="00AD5ED5">
        <w:rPr>
          <w:rFonts w:eastAsiaTheme="minorHAnsi"/>
        </w:rPr>
        <w:t xml:space="preserve"> is required to present such proof upon request by the State Bar, the Office of Probation, or the State Bar Court.  </w:t>
      </w:r>
    </w:p>
    <w:p w:rsidR="00A1284E" w:rsidRDefault="00A1284E" w:rsidP="004A7AF9">
      <w:pPr>
        <w:ind w:left="720" w:right="-144"/>
        <w:rPr>
          <w:rFonts w:eastAsiaTheme="minorHAnsi"/>
        </w:rPr>
      </w:pPr>
    </w:p>
    <w:p w:rsidR="00A1284E" w:rsidRPr="00A31EDB" w:rsidRDefault="00A1284E" w:rsidP="004A7AF9">
      <w:pPr>
        <w:pStyle w:val="ListParagraph"/>
        <w:numPr>
          <w:ilvl w:val="0"/>
          <w:numId w:val="20"/>
        </w:numPr>
        <w:ind w:right="-144"/>
        <w:rPr>
          <w:szCs w:val="24"/>
        </w:rPr>
      </w:pPr>
      <w:r w:rsidRPr="003869D2">
        <w:rPr>
          <w:rFonts w:eastAsiaTheme="minorHAnsi"/>
        </w:rPr>
        <w:t xml:space="preserve">Within one year after the effective date of the Supreme Court order imposing discipline in this matter, </w:t>
      </w:r>
      <w:proofErr w:type="spellStart"/>
      <w:r w:rsidR="00206800">
        <w:rPr>
          <w:rFonts w:eastAsiaTheme="minorHAnsi"/>
        </w:rPr>
        <w:t>Lingwood</w:t>
      </w:r>
      <w:proofErr w:type="spellEnd"/>
      <w:r w:rsidRPr="003869D2">
        <w:rPr>
          <w:rFonts w:eastAsiaTheme="minorHAnsi"/>
        </w:rPr>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proofErr w:type="spellStart"/>
      <w:r w:rsidR="00206800">
        <w:rPr>
          <w:rFonts w:eastAsiaTheme="minorHAnsi"/>
        </w:rPr>
        <w:t>Lingwood</w:t>
      </w:r>
      <w:proofErr w:type="spellEnd"/>
      <w:r w:rsidRPr="003869D2">
        <w:rPr>
          <w:rFonts w:eastAsiaTheme="minorHAnsi"/>
        </w:rPr>
        <w:t xml:space="preserve"> will not receive MCLE credit for attending this session.  If </w:t>
      </w:r>
      <w:r w:rsidR="00206800">
        <w:rPr>
          <w:rFonts w:eastAsiaTheme="minorHAnsi"/>
        </w:rPr>
        <w:t>s</w:t>
      </w:r>
      <w:r>
        <w:rPr>
          <w:rFonts w:eastAsiaTheme="minorHAnsi"/>
        </w:rPr>
        <w:t>he</w:t>
      </w:r>
      <w:r w:rsidRPr="003869D2">
        <w:rPr>
          <w:rFonts w:eastAsiaTheme="minorHAnsi"/>
        </w:rPr>
        <w:t xml:space="preserve"> provides satisfactory evidence of completion of the Ethics School after the date of this opinion but before the effective date of the Supreme Court’s order in this matter, </w:t>
      </w:r>
      <w:proofErr w:type="spellStart"/>
      <w:r w:rsidR="00206800">
        <w:rPr>
          <w:rFonts w:eastAsiaTheme="minorHAnsi"/>
        </w:rPr>
        <w:t>Lingwood</w:t>
      </w:r>
      <w:proofErr w:type="spellEnd"/>
      <w:r w:rsidRPr="003869D2">
        <w:rPr>
          <w:rFonts w:eastAsiaTheme="minorHAnsi"/>
        </w:rPr>
        <w:t xml:space="preserve"> will nonetheless receive credit for such evidence toward </w:t>
      </w:r>
      <w:r w:rsidR="00206800">
        <w:rPr>
          <w:rFonts w:eastAsiaTheme="minorHAnsi"/>
        </w:rPr>
        <w:t>her</w:t>
      </w:r>
      <w:r w:rsidRPr="003869D2">
        <w:rPr>
          <w:rFonts w:eastAsiaTheme="minorHAnsi"/>
        </w:rPr>
        <w:t xml:space="preserve"> duty to comply with this condition.</w:t>
      </w:r>
    </w:p>
    <w:p w:rsidR="00A31EDB" w:rsidRPr="004B128F" w:rsidRDefault="00A31EDB" w:rsidP="004A7AF9">
      <w:pPr>
        <w:pStyle w:val="ListParagraph"/>
        <w:ind w:left="0" w:right="-144"/>
        <w:rPr>
          <w:szCs w:val="24"/>
        </w:rPr>
      </w:pPr>
    </w:p>
    <w:p w:rsidR="00A1284E" w:rsidRPr="00A31EDB" w:rsidRDefault="00A1284E" w:rsidP="004A7AF9">
      <w:pPr>
        <w:pStyle w:val="ListParagraph"/>
        <w:numPr>
          <w:ilvl w:val="0"/>
          <w:numId w:val="20"/>
        </w:numPr>
        <w:ind w:right="-144"/>
        <w:rPr>
          <w:szCs w:val="24"/>
        </w:rPr>
      </w:pPr>
      <w:r>
        <w:t xml:space="preserve">The period of probation will commence on the effective date of the Supreme Court order imposing discipline in this matter.  At the expiration of the probation period, if </w:t>
      </w:r>
      <w:proofErr w:type="spellStart"/>
      <w:r w:rsidR="00206800">
        <w:t>Lingwood</w:t>
      </w:r>
      <w:proofErr w:type="spellEnd"/>
      <w:r>
        <w:t xml:space="preserve"> </w:t>
      </w:r>
      <w:r>
        <w:lastRenderedPageBreak/>
        <w:t>has complied with all conditions of probation, the period of stayed suspension will be satisfied and that suspension will be terminated.</w:t>
      </w:r>
    </w:p>
    <w:p w:rsidR="00A31EDB" w:rsidRPr="00D20A97" w:rsidRDefault="00A31EDB" w:rsidP="00A31EDB">
      <w:pPr>
        <w:pStyle w:val="ListParagraph"/>
        <w:ind w:left="0"/>
        <w:rPr>
          <w:szCs w:val="24"/>
        </w:rPr>
      </w:pPr>
    </w:p>
    <w:p w:rsidR="00A1284E" w:rsidRPr="00DF4270" w:rsidRDefault="00A1284E" w:rsidP="00A1284E">
      <w:pPr>
        <w:spacing w:line="480" w:lineRule="auto"/>
        <w:jc w:val="center"/>
        <w:rPr>
          <w:b/>
        </w:rPr>
      </w:pPr>
      <w:r w:rsidRPr="00DF4270">
        <w:rPr>
          <w:b/>
        </w:rPr>
        <w:t>VII.  PROFESSIONAL RESPONSIBILITY EXAMINATION</w:t>
      </w:r>
    </w:p>
    <w:p w:rsidR="00A1284E" w:rsidRDefault="00A1284E" w:rsidP="00A1284E">
      <w:pPr>
        <w:spacing w:line="480" w:lineRule="auto"/>
        <w:ind w:right="-144" w:firstLine="720"/>
      </w:pPr>
      <w:r w:rsidRPr="002F45AA">
        <w:t xml:space="preserve">We further recommend that </w:t>
      </w:r>
      <w:r w:rsidR="00206800">
        <w:t xml:space="preserve">Rita Mae </w:t>
      </w:r>
      <w:proofErr w:type="spellStart"/>
      <w:r w:rsidR="00206800">
        <w:t>Lingwood</w:t>
      </w:r>
      <w:proofErr w:type="spellEnd"/>
      <w:r w:rsidRPr="002F45AA">
        <w:t xml:space="preserve"> be ordered to take and pass the Multistate Professional Responsibility Examination </w:t>
      </w:r>
      <w:r>
        <w:t xml:space="preserve">(MPRE) </w:t>
      </w:r>
      <w:r w:rsidRPr="002F45AA">
        <w:t>administered by the National Conference of Bar Examiners within one year of the effective date of the Supreme Court order in this matter and to provide satisfactory proof of such passage to the Office of Probation within the same period.  Failure to do so may result in an automatic susp</w:t>
      </w:r>
      <w:r w:rsidR="00A31EDB">
        <w:t xml:space="preserve">ension.  </w:t>
      </w:r>
      <w:r w:rsidRPr="002F45AA">
        <w:t>(Cal. Rules of Court, rule</w:t>
      </w:r>
      <w:r>
        <w:t> </w:t>
      </w:r>
      <w:r w:rsidRPr="002F45AA">
        <w:t>9.10(b).)</w:t>
      </w:r>
      <w:r w:rsidR="00A31EDB">
        <w:t xml:space="preserve">  </w:t>
      </w:r>
      <w:r>
        <w:rPr>
          <w:szCs w:val="24"/>
        </w:rPr>
        <w:t xml:space="preserve">If </w:t>
      </w:r>
      <w:proofErr w:type="spellStart"/>
      <w:r w:rsidR="00206800">
        <w:t>Lingwood</w:t>
      </w:r>
      <w:proofErr w:type="spellEnd"/>
      <w:r>
        <w:t xml:space="preserve"> provides satisfactory evidence of taking and passage of the MPRE after the date of this opinion but before the effective date of the Supreme Court’s order in this matter, </w:t>
      </w:r>
      <w:r w:rsidR="00206800">
        <w:t>s</w:t>
      </w:r>
      <w:r>
        <w:t>he will nonetheless receive credit for such evidence toward h</w:t>
      </w:r>
      <w:r w:rsidR="00F46963">
        <w:t>er</w:t>
      </w:r>
      <w:r>
        <w:t xml:space="preserve"> duty to comply with this condition.</w:t>
      </w:r>
    </w:p>
    <w:p w:rsidR="00A1284E" w:rsidRPr="00922027" w:rsidRDefault="00D20A97" w:rsidP="00057284">
      <w:pPr>
        <w:spacing w:line="480" w:lineRule="auto"/>
        <w:ind w:right="-144"/>
        <w:jc w:val="center"/>
        <w:rPr>
          <w:b/>
        </w:rPr>
      </w:pPr>
      <w:r w:rsidRPr="00D20A97">
        <w:rPr>
          <w:b/>
        </w:rPr>
        <w:t xml:space="preserve">VIII.  </w:t>
      </w:r>
      <w:r w:rsidR="00A1284E" w:rsidRPr="00922027">
        <w:rPr>
          <w:b/>
        </w:rPr>
        <w:t>COSTS</w:t>
      </w:r>
    </w:p>
    <w:p w:rsidR="00206800" w:rsidRDefault="00A1284E" w:rsidP="003D3F27">
      <w:pPr>
        <w:spacing w:line="480" w:lineRule="auto"/>
        <w:ind w:firstLine="720"/>
      </w:pPr>
      <w:r w:rsidRPr="00101C9A">
        <w:t>We further recommend that costs be awarded to the State Bar in accordance with Business and Professions Code section</w:t>
      </w:r>
      <w:r>
        <w:t> </w:t>
      </w:r>
      <w:r w:rsidRPr="00101C9A">
        <w:t>6086.10, such costs being enforceable both as provided in section</w:t>
      </w:r>
      <w:r>
        <w:t> </w:t>
      </w:r>
      <w:r w:rsidRPr="00101C9A">
        <w:t>6140.7 and as a money judgment</w:t>
      </w:r>
      <w:r>
        <w:rPr>
          <w:szCs w:val="24"/>
        </w:rPr>
        <w:t xml:space="preserve">.  </w:t>
      </w:r>
      <w:r>
        <w:t>Unless the time for payment of discipline costs is extended pursuant to subdivision (c) of section 6086.10,</w:t>
      </w:r>
      <w:r w:rsidR="001C11B6">
        <w:rPr>
          <w:rStyle w:val="FootnoteReference"/>
        </w:rPr>
        <w:footnoteReference w:id="19"/>
      </w:r>
      <w:r w:rsidR="00D20A97">
        <w:t xml:space="preserve"> costs assessed against an attorney</w:t>
      </w:r>
      <w:r>
        <w:t xml:space="preserve"> who is actually suspended or disbarred must be paid as a condition of reinstatement or return to active status.</w:t>
      </w:r>
    </w:p>
    <w:p w:rsidR="00C4545A" w:rsidRPr="00C4545A" w:rsidRDefault="00057284" w:rsidP="00C4545A">
      <w:pPr>
        <w:spacing w:line="480" w:lineRule="auto"/>
        <w:ind w:right="-144"/>
        <w:jc w:val="center"/>
        <w:rPr>
          <w:b/>
        </w:rPr>
      </w:pPr>
      <w:r>
        <w:rPr>
          <w:b/>
        </w:rPr>
        <w:t>I</w:t>
      </w:r>
      <w:r w:rsidR="00C4545A" w:rsidRPr="00C4545A">
        <w:rPr>
          <w:b/>
        </w:rPr>
        <w:t>X.  ORDER</w:t>
      </w:r>
    </w:p>
    <w:p w:rsidR="00CC0B7A" w:rsidRDefault="00C4545A" w:rsidP="00626538">
      <w:pPr>
        <w:spacing w:line="480" w:lineRule="auto"/>
        <w:ind w:right="-144" w:firstLine="720"/>
      </w:pPr>
      <w:r>
        <w:t xml:space="preserve">Finally, because we reject the hearing judge’s disbarment recommendation, we order that Rita Mae </w:t>
      </w:r>
      <w:proofErr w:type="spellStart"/>
      <w:r>
        <w:t>Lingwood’s</w:t>
      </w:r>
      <w:proofErr w:type="spellEnd"/>
      <w:r>
        <w:t xml:space="preserve"> inactive enrollment under Business and Professions </w:t>
      </w:r>
      <w:r w:rsidR="00F663C8">
        <w:t>Code section </w:t>
      </w:r>
      <w:r>
        <w:t>6007,</w:t>
      </w:r>
    </w:p>
    <w:p w:rsidR="00CC0B7A" w:rsidRDefault="00CC0B7A" w:rsidP="00626538">
      <w:pPr>
        <w:spacing w:line="480" w:lineRule="auto"/>
        <w:ind w:right="-144" w:firstLine="720"/>
      </w:pPr>
    </w:p>
    <w:p w:rsidR="00C4545A" w:rsidRDefault="00C4545A" w:rsidP="00CC0B7A">
      <w:pPr>
        <w:spacing w:line="480" w:lineRule="auto"/>
        <w:ind w:right="-144"/>
      </w:pPr>
      <w:r>
        <w:lastRenderedPageBreak/>
        <w:t>subdivision</w:t>
      </w:r>
      <w:r w:rsidR="00F663C8">
        <w:t> </w:t>
      </w:r>
      <w:r>
        <w:t xml:space="preserve">(c)(4), be </w:t>
      </w:r>
      <w:r w:rsidR="00A5680E">
        <w:t xml:space="preserve">vacated </w:t>
      </w:r>
      <w:r>
        <w:t xml:space="preserve">immediately.  This order does not affect </w:t>
      </w:r>
      <w:proofErr w:type="spellStart"/>
      <w:r>
        <w:t>Lingwood’s</w:t>
      </w:r>
      <w:proofErr w:type="spellEnd"/>
      <w:r>
        <w:t xml:space="preserve"> ineligibility to practice law that has resulted or that may hereafter result from any other cause.</w:t>
      </w:r>
    </w:p>
    <w:p w:rsidR="00832223" w:rsidRDefault="00832223" w:rsidP="00CC1047">
      <w:pPr>
        <w:spacing w:line="480" w:lineRule="auto"/>
        <w:ind w:right="-144"/>
      </w:pPr>
      <w:r w:rsidRPr="007768C9">
        <w:tab/>
      </w:r>
      <w:r w:rsidRPr="007768C9">
        <w:tab/>
      </w:r>
      <w:r w:rsidRPr="007768C9">
        <w:tab/>
      </w:r>
      <w:r w:rsidRPr="007768C9">
        <w:tab/>
      </w:r>
      <w:r w:rsidRPr="007768C9">
        <w:tab/>
      </w:r>
      <w:r w:rsidRPr="007768C9">
        <w:tab/>
      </w:r>
      <w:bookmarkStart w:id="8" w:name="judge"/>
      <w:bookmarkEnd w:id="8"/>
      <w:r w:rsidR="00F43AA0">
        <w:tab/>
      </w:r>
      <w:r w:rsidR="00C17E0A">
        <w:t>HONN,</w:t>
      </w:r>
      <w:r w:rsidR="00F43AA0">
        <w:t xml:space="preserve"> </w:t>
      </w:r>
      <w:r w:rsidR="00C17E0A">
        <w:t>J.</w:t>
      </w:r>
    </w:p>
    <w:p w:rsidR="00832223" w:rsidRDefault="00832223" w:rsidP="003F06DF">
      <w:pPr>
        <w:spacing w:line="480" w:lineRule="auto"/>
      </w:pPr>
      <w:r>
        <w:t>WE CONCUR:</w:t>
      </w:r>
    </w:p>
    <w:p w:rsidR="00C06411" w:rsidRPr="00D40F7E" w:rsidRDefault="00C06411" w:rsidP="00C06411">
      <w:pPr>
        <w:tabs>
          <w:tab w:val="left" w:pos="720"/>
        </w:tabs>
        <w:spacing w:line="480" w:lineRule="auto"/>
        <w:rPr>
          <w:szCs w:val="24"/>
        </w:rPr>
      </w:pPr>
      <w:bookmarkStart w:id="9" w:name="multinames"/>
      <w:bookmarkEnd w:id="9"/>
      <w:r>
        <w:rPr>
          <w:szCs w:val="24"/>
        </w:rPr>
        <w:t xml:space="preserve">PURCELL, P. </w:t>
      </w:r>
      <w:r w:rsidRPr="00D40F7E">
        <w:rPr>
          <w:szCs w:val="24"/>
        </w:rPr>
        <w:t>J.</w:t>
      </w:r>
    </w:p>
    <w:p w:rsidR="00C06411" w:rsidRDefault="00C06411" w:rsidP="00C06411">
      <w:pPr>
        <w:tabs>
          <w:tab w:val="left" w:pos="720"/>
        </w:tabs>
        <w:spacing w:line="480" w:lineRule="auto"/>
        <w:rPr>
          <w:szCs w:val="24"/>
        </w:rPr>
      </w:pPr>
      <w:proofErr w:type="spellStart"/>
      <w:r>
        <w:rPr>
          <w:szCs w:val="24"/>
        </w:rPr>
        <w:t>McGILL</w:t>
      </w:r>
      <w:proofErr w:type="spellEnd"/>
      <w:r>
        <w:rPr>
          <w:szCs w:val="24"/>
        </w:rPr>
        <w:t>, J.</w:t>
      </w:r>
    </w:p>
    <w:p w:rsidR="00A75FC5" w:rsidRDefault="00A75FC5">
      <w:pPr>
        <w:rPr>
          <w:szCs w:val="24"/>
        </w:rPr>
      </w:pPr>
      <w:r>
        <w:rPr>
          <w:szCs w:val="24"/>
        </w:rPr>
        <w:br w:type="page"/>
      </w:r>
    </w:p>
    <w:p w:rsidR="001C62AE" w:rsidRDefault="001C62AE" w:rsidP="001C62AE">
      <w:pPr>
        <w:tabs>
          <w:tab w:val="left" w:pos="4994"/>
        </w:tabs>
        <w:rPr>
          <w:lang w:val="en-CA"/>
        </w:rPr>
      </w:pPr>
    </w:p>
    <w:p w:rsidR="001C62AE" w:rsidRDefault="001C62AE" w:rsidP="001C62AE">
      <w:pPr>
        <w:tabs>
          <w:tab w:val="left" w:pos="4994"/>
        </w:tabs>
        <w:rPr>
          <w:b/>
          <w:bCs/>
          <w:sz w:val="28"/>
          <w:szCs w:val="28"/>
        </w:rPr>
      </w:pPr>
      <w:r>
        <w:rPr>
          <w:lang w:val="en-CA"/>
        </w:rPr>
        <w:fldChar w:fldCharType="begin"/>
      </w:r>
      <w:r>
        <w:rPr>
          <w:lang w:val="en-CA"/>
        </w:rPr>
        <w:instrText xml:space="preserve"> SEQ CHAPTER \h \r 1</w:instrText>
      </w:r>
      <w:r>
        <w:rPr>
          <w:lang w:val="en-CA"/>
        </w:rPr>
        <w:fldChar w:fldCharType="end"/>
      </w:r>
    </w:p>
    <w:p w:rsidR="001C62AE" w:rsidRDefault="001C62AE" w:rsidP="001C62AE">
      <w:pPr>
        <w:jc w:val="center"/>
        <w:outlineLvl w:val="0"/>
        <w:rPr>
          <w:b/>
          <w:bCs/>
          <w:sz w:val="34"/>
          <w:szCs w:val="34"/>
        </w:rPr>
      </w:pPr>
    </w:p>
    <w:p w:rsidR="001C62AE" w:rsidRDefault="001C62AE" w:rsidP="001C62AE">
      <w:pPr>
        <w:jc w:val="center"/>
        <w:outlineLvl w:val="0"/>
        <w:rPr>
          <w:b/>
          <w:bCs/>
          <w:sz w:val="34"/>
          <w:szCs w:val="34"/>
        </w:rPr>
      </w:pPr>
    </w:p>
    <w:p w:rsidR="003D3F27" w:rsidRDefault="003D3F27" w:rsidP="001C62AE">
      <w:pPr>
        <w:jc w:val="center"/>
        <w:outlineLvl w:val="0"/>
        <w:rPr>
          <w:b/>
          <w:bCs/>
          <w:sz w:val="34"/>
          <w:szCs w:val="34"/>
        </w:rPr>
      </w:pPr>
    </w:p>
    <w:p w:rsidR="001C62AE" w:rsidRDefault="001C62AE" w:rsidP="001C62AE">
      <w:pPr>
        <w:jc w:val="center"/>
        <w:outlineLvl w:val="0"/>
        <w:rPr>
          <w:szCs w:val="34"/>
        </w:rPr>
      </w:pPr>
      <w:r>
        <w:rPr>
          <w:b/>
          <w:bCs/>
          <w:szCs w:val="34"/>
        </w:rPr>
        <w:t>No. 16-O-17302</w:t>
      </w:r>
    </w:p>
    <w:p w:rsidR="001C62AE" w:rsidRDefault="001C62AE" w:rsidP="001C62AE">
      <w:pPr>
        <w:jc w:val="center"/>
        <w:rPr>
          <w:b/>
          <w:bCs/>
          <w:i/>
          <w:iCs/>
          <w:szCs w:val="34"/>
        </w:rPr>
      </w:pPr>
    </w:p>
    <w:p w:rsidR="001C62AE" w:rsidRDefault="001C62AE" w:rsidP="001C62AE">
      <w:pPr>
        <w:jc w:val="center"/>
        <w:rPr>
          <w:b/>
          <w:bCs/>
          <w:i/>
          <w:iCs/>
          <w:szCs w:val="34"/>
        </w:rPr>
      </w:pPr>
      <w:r>
        <w:rPr>
          <w:b/>
          <w:bCs/>
          <w:i/>
          <w:iCs/>
          <w:szCs w:val="34"/>
        </w:rPr>
        <w:br/>
      </w:r>
    </w:p>
    <w:p w:rsidR="001C62AE" w:rsidRDefault="001C62AE" w:rsidP="001C62AE">
      <w:pPr>
        <w:spacing w:line="360" w:lineRule="auto"/>
        <w:jc w:val="center"/>
        <w:outlineLvl w:val="0"/>
        <w:rPr>
          <w:b/>
          <w:bCs/>
          <w:i/>
          <w:iCs/>
          <w:szCs w:val="34"/>
        </w:rPr>
      </w:pPr>
      <w:r>
        <w:rPr>
          <w:b/>
          <w:bCs/>
          <w:i/>
          <w:iCs/>
          <w:szCs w:val="34"/>
        </w:rPr>
        <w:t xml:space="preserve">In the Matter of </w:t>
      </w:r>
    </w:p>
    <w:p w:rsidR="001C62AE" w:rsidRDefault="001C62AE" w:rsidP="001C62AE">
      <w:pPr>
        <w:spacing w:line="360" w:lineRule="auto"/>
        <w:jc w:val="center"/>
        <w:outlineLvl w:val="0"/>
        <w:rPr>
          <w:szCs w:val="28"/>
        </w:rPr>
      </w:pPr>
      <w:r>
        <w:rPr>
          <w:b/>
          <w:bCs/>
          <w:szCs w:val="34"/>
        </w:rPr>
        <w:t>RITA MAE LINGWOOD</w:t>
      </w:r>
    </w:p>
    <w:p w:rsidR="001C62AE" w:rsidRDefault="001C62AE" w:rsidP="001C62AE">
      <w:pPr>
        <w:spacing w:line="360" w:lineRule="auto"/>
        <w:jc w:val="center"/>
        <w:rPr>
          <w:szCs w:val="28"/>
        </w:rPr>
      </w:pPr>
    </w:p>
    <w:p w:rsidR="001C62AE" w:rsidRDefault="001C62AE" w:rsidP="001C62AE">
      <w:pPr>
        <w:spacing w:line="360" w:lineRule="auto"/>
        <w:jc w:val="center"/>
        <w:rPr>
          <w:szCs w:val="28"/>
        </w:rPr>
      </w:pPr>
    </w:p>
    <w:p w:rsidR="001C62AE" w:rsidRDefault="001C62AE" w:rsidP="001C62AE">
      <w:pPr>
        <w:spacing w:line="360" w:lineRule="auto"/>
        <w:jc w:val="center"/>
        <w:rPr>
          <w:szCs w:val="28"/>
        </w:rPr>
      </w:pPr>
    </w:p>
    <w:p w:rsidR="001C62AE" w:rsidRDefault="001C62AE" w:rsidP="001C62AE">
      <w:pPr>
        <w:spacing w:line="360" w:lineRule="auto"/>
        <w:jc w:val="center"/>
        <w:rPr>
          <w:szCs w:val="28"/>
        </w:rPr>
      </w:pPr>
    </w:p>
    <w:p w:rsidR="003D3F27" w:rsidRDefault="003D3F27" w:rsidP="001C62AE">
      <w:pPr>
        <w:spacing w:line="360" w:lineRule="auto"/>
        <w:jc w:val="center"/>
        <w:rPr>
          <w:szCs w:val="28"/>
        </w:rPr>
      </w:pPr>
    </w:p>
    <w:p w:rsidR="001C62AE" w:rsidRDefault="001C62AE" w:rsidP="001C62AE">
      <w:pPr>
        <w:spacing w:line="360" w:lineRule="auto"/>
        <w:jc w:val="center"/>
        <w:rPr>
          <w:szCs w:val="28"/>
        </w:rPr>
      </w:pPr>
    </w:p>
    <w:p w:rsidR="001C62AE" w:rsidRDefault="001C62AE" w:rsidP="001C62AE">
      <w:pPr>
        <w:jc w:val="center"/>
        <w:outlineLvl w:val="0"/>
        <w:rPr>
          <w:i/>
          <w:iCs/>
          <w:szCs w:val="28"/>
        </w:rPr>
      </w:pPr>
      <w:r>
        <w:rPr>
          <w:i/>
          <w:iCs/>
          <w:szCs w:val="28"/>
        </w:rPr>
        <w:t>Hearing Judge</w:t>
      </w:r>
    </w:p>
    <w:p w:rsidR="001C62AE" w:rsidRDefault="001C62AE" w:rsidP="001C62AE">
      <w:pPr>
        <w:jc w:val="center"/>
        <w:outlineLvl w:val="0"/>
        <w:rPr>
          <w:szCs w:val="28"/>
        </w:rPr>
      </w:pPr>
      <w:r>
        <w:rPr>
          <w:b/>
          <w:bCs/>
          <w:szCs w:val="32"/>
        </w:rPr>
        <w:t>Hon. Lucy Armendariz</w:t>
      </w:r>
    </w:p>
    <w:p w:rsidR="001C62AE" w:rsidRDefault="001C62AE" w:rsidP="001C62AE">
      <w:pPr>
        <w:jc w:val="center"/>
        <w:rPr>
          <w:szCs w:val="28"/>
        </w:rPr>
      </w:pPr>
    </w:p>
    <w:p w:rsidR="003D3F27" w:rsidRDefault="003D3F27" w:rsidP="001C62AE">
      <w:pPr>
        <w:jc w:val="center"/>
        <w:rPr>
          <w:szCs w:val="28"/>
        </w:rPr>
      </w:pPr>
    </w:p>
    <w:p w:rsidR="003D3F27" w:rsidRDefault="003D3F27" w:rsidP="001C62AE">
      <w:pPr>
        <w:jc w:val="center"/>
        <w:rPr>
          <w:szCs w:val="28"/>
        </w:rPr>
      </w:pPr>
    </w:p>
    <w:p w:rsidR="003D3F27" w:rsidRDefault="003D3F27" w:rsidP="001C62AE">
      <w:pPr>
        <w:jc w:val="center"/>
        <w:rPr>
          <w:szCs w:val="28"/>
        </w:rPr>
      </w:pPr>
    </w:p>
    <w:p w:rsidR="001C62AE" w:rsidRDefault="001C62AE" w:rsidP="001C62AE">
      <w:pPr>
        <w:jc w:val="center"/>
        <w:rPr>
          <w:szCs w:val="28"/>
        </w:rPr>
      </w:pPr>
    </w:p>
    <w:p w:rsidR="001C62AE" w:rsidRDefault="001C62AE" w:rsidP="001C62AE">
      <w:pPr>
        <w:jc w:val="center"/>
        <w:rPr>
          <w:szCs w:val="28"/>
        </w:rPr>
      </w:pPr>
    </w:p>
    <w:p w:rsidR="001C62AE" w:rsidRDefault="001C62AE" w:rsidP="001C62AE">
      <w:pPr>
        <w:rPr>
          <w:szCs w:val="28"/>
        </w:rPr>
      </w:pPr>
    </w:p>
    <w:p w:rsidR="001C62AE" w:rsidRDefault="001C62AE" w:rsidP="001C62AE">
      <w:pPr>
        <w:jc w:val="center"/>
        <w:outlineLvl w:val="0"/>
        <w:rPr>
          <w:i/>
          <w:iCs/>
          <w:szCs w:val="28"/>
        </w:rPr>
      </w:pPr>
      <w:r>
        <w:rPr>
          <w:i/>
          <w:iCs/>
          <w:szCs w:val="28"/>
        </w:rPr>
        <w:t>Counsel for the Parties</w:t>
      </w:r>
    </w:p>
    <w:p w:rsidR="00705B03" w:rsidRDefault="00705B03" w:rsidP="001C62AE">
      <w:pPr>
        <w:jc w:val="center"/>
        <w:outlineLvl w:val="0"/>
        <w:rPr>
          <w:b/>
          <w:bCs/>
          <w:i/>
          <w:iCs/>
          <w:szCs w:val="28"/>
        </w:rPr>
      </w:pPr>
    </w:p>
    <w:p w:rsidR="001C62AE" w:rsidRDefault="001C62AE" w:rsidP="001C62AE">
      <w:pPr>
        <w:rPr>
          <w:b/>
          <w:bCs/>
          <w:szCs w:val="28"/>
        </w:rPr>
      </w:pPr>
    </w:p>
    <w:tbl>
      <w:tblPr>
        <w:tblW w:w="0" w:type="auto"/>
        <w:tblInd w:w="100" w:type="dxa"/>
        <w:tblLayout w:type="fixed"/>
        <w:tblCellMar>
          <w:left w:w="100" w:type="dxa"/>
          <w:right w:w="100" w:type="dxa"/>
        </w:tblCellMar>
        <w:tblLook w:val="04A0" w:firstRow="1" w:lastRow="0" w:firstColumn="1" w:lastColumn="0" w:noHBand="0" w:noVBand="1"/>
      </w:tblPr>
      <w:tblGrid>
        <w:gridCol w:w="5310"/>
        <w:gridCol w:w="4140"/>
      </w:tblGrid>
      <w:tr w:rsidR="001C62AE" w:rsidTr="001C62AE">
        <w:trPr>
          <w:cantSplit/>
        </w:trPr>
        <w:tc>
          <w:tcPr>
            <w:tcW w:w="5310" w:type="dxa"/>
            <w:hideMark/>
          </w:tcPr>
          <w:p w:rsidR="001C62AE" w:rsidRDefault="0039098A" w:rsidP="0039098A">
            <w:pPr>
              <w:spacing w:before="100" w:after="48"/>
              <w:rPr>
                <w:szCs w:val="28"/>
              </w:rPr>
            </w:pPr>
            <w:r>
              <w:rPr>
                <w:szCs w:val="28"/>
              </w:rPr>
              <w:t xml:space="preserve">                      </w:t>
            </w:r>
            <w:r w:rsidR="001C62AE">
              <w:rPr>
                <w:szCs w:val="28"/>
              </w:rPr>
              <w:t>For State Bar of California:</w:t>
            </w:r>
          </w:p>
        </w:tc>
        <w:tc>
          <w:tcPr>
            <w:tcW w:w="4140" w:type="dxa"/>
            <w:hideMark/>
          </w:tcPr>
          <w:p w:rsidR="001C62AE" w:rsidRPr="00705B03" w:rsidRDefault="001C62AE">
            <w:pPr>
              <w:spacing w:before="100"/>
              <w:rPr>
                <w:b/>
                <w:szCs w:val="28"/>
              </w:rPr>
            </w:pPr>
            <w:r w:rsidRPr="00705B03">
              <w:rPr>
                <w:b/>
                <w:szCs w:val="28"/>
              </w:rPr>
              <w:t>Manuel Jimenez</w:t>
            </w:r>
          </w:p>
          <w:p w:rsidR="001C62AE" w:rsidRPr="00705B03" w:rsidRDefault="001C62AE">
            <w:pPr>
              <w:rPr>
                <w:b/>
                <w:szCs w:val="28"/>
              </w:rPr>
            </w:pPr>
            <w:r w:rsidRPr="00705B03">
              <w:rPr>
                <w:b/>
                <w:szCs w:val="28"/>
              </w:rPr>
              <w:t>Office of Chief Trial Counsel</w:t>
            </w:r>
          </w:p>
          <w:p w:rsidR="001C62AE" w:rsidRPr="00705B03" w:rsidRDefault="001C62AE">
            <w:pPr>
              <w:rPr>
                <w:b/>
                <w:szCs w:val="28"/>
              </w:rPr>
            </w:pPr>
            <w:r w:rsidRPr="00705B03">
              <w:rPr>
                <w:b/>
                <w:szCs w:val="28"/>
              </w:rPr>
              <w:t>The State Bar of California</w:t>
            </w:r>
          </w:p>
          <w:p w:rsidR="001C62AE" w:rsidRPr="00705B03" w:rsidRDefault="001C62AE">
            <w:pPr>
              <w:rPr>
                <w:b/>
                <w:szCs w:val="28"/>
              </w:rPr>
            </w:pPr>
            <w:r w:rsidRPr="00705B03">
              <w:rPr>
                <w:b/>
                <w:szCs w:val="28"/>
              </w:rPr>
              <w:t>180 Howard Street</w:t>
            </w:r>
          </w:p>
          <w:p w:rsidR="001C62AE" w:rsidRDefault="001C62AE">
            <w:pPr>
              <w:spacing w:after="48"/>
              <w:rPr>
                <w:szCs w:val="28"/>
              </w:rPr>
            </w:pPr>
            <w:r w:rsidRPr="00705B03">
              <w:rPr>
                <w:b/>
                <w:szCs w:val="28"/>
              </w:rPr>
              <w:t>San Francisco, CA 94105</w:t>
            </w:r>
          </w:p>
        </w:tc>
      </w:tr>
      <w:tr w:rsidR="001C62AE" w:rsidTr="001C62AE">
        <w:trPr>
          <w:cantSplit/>
        </w:trPr>
        <w:tc>
          <w:tcPr>
            <w:tcW w:w="5310" w:type="dxa"/>
            <w:hideMark/>
          </w:tcPr>
          <w:p w:rsidR="001C62AE" w:rsidRDefault="0039098A" w:rsidP="0039098A">
            <w:pPr>
              <w:spacing w:before="200" w:after="48"/>
              <w:rPr>
                <w:szCs w:val="28"/>
              </w:rPr>
            </w:pPr>
            <w:r>
              <w:rPr>
                <w:szCs w:val="28"/>
              </w:rPr>
              <w:t xml:space="preserve">                     </w:t>
            </w:r>
            <w:r w:rsidR="006848A2">
              <w:rPr>
                <w:szCs w:val="28"/>
              </w:rPr>
              <w:t xml:space="preserve"> </w:t>
            </w:r>
            <w:r w:rsidR="001C62AE">
              <w:rPr>
                <w:szCs w:val="28"/>
              </w:rPr>
              <w:t xml:space="preserve">For Rita Mae </w:t>
            </w:r>
            <w:proofErr w:type="spellStart"/>
            <w:r w:rsidR="001C62AE">
              <w:rPr>
                <w:szCs w:val="28"/>
              </w:rPr>
              <w:t>Lingwood</w:t>
            </w:r>
            <w:proofErr w:type="spellEnd"/>
            <w:r w:rsidR="001C62AE">
              <w:rPr>
                <w:szCs w:val="28"/>
              </w:rPr>
              <w:t>:</w:t>
            </w:r>
          </w:p>
        </w:tc>
        <w:tc>
          <w:tcPr>
            <w:tcW w:w="4140" w:type="dxa"/>
            <w:hideMark/>
          </w:tcPr>
          <w:p w:rsidR="00D12D6B" w:rsidRPr="00705B03" w:rsidRDefault="00D12D6B" w:rsidP="00BA1194">
            <w:pPr>
              <w:spacing w:before="200"/>
              <w:rPr>
                <w:b/>
                <w:szCs w:val="28"/>
              </w:rPr>
            </w:pPr>
            <w:r w:rsidRPr="00705B03">
              <w:rPr>
                <w:b/>
                <w:szCs w:val="28"/>
              </w:rPr>
              <w:t xml:space="preserve">Rita Mae </w:t>
            </w:r>
            <w:proofErr w:type="spellStart"/>
            <w:r w:rsidRPr="00705B03">
              <w:rPr>
                <w:b/>
                <w:szCs w:val="28"/>
              </w:rPr>
              <w:t>Lingwood</w:t>
            </w:r>
            <w:proofErr w:type="spellEnd"/>
            <w:r w:rsidRPr="00705B03">
              <w:rPr>
                <w:b/>
                <w:szCs w:val="28"/>
              </w:rPr>
              <w:t>, in pro. per.</w:t>
            </w:r>
          </w:p>
          <w:p w:rsidR="00D12D6B" w:rsidRPr="00705B03" w:rsidRDefault="00D12D6B" w:rsidP="00F94FBE">
            <w:pPr>
              <w:rPr>
                <w:b/>
                <w:szCs w:val="28"/>
              </w:rPr>
            </w:pPr>
            <w:r w:rsidRPr="00705B03">
              <w:rPr>
                <w:b/>
                <w:szCs w:val="28"/>
              </w:rPr>
              <w:t>7405 Greenback Ln.</w:t>
            </w:r>
          </w:p>
          <w:p w:rsidR="00D12D6B" w:rsidRPr="00705B03" w:rsidRDefault="00D12D6B" w:rsidP="00F94FBE">
            <w:pPr>
              <w:rPr>
                <w:b/>
                <w:szCs w:val="28"/>
              </w:rPr>
            </w:pPr>
            <w:r w:rsidRPr="00705B03">
              <w:rPr>
                <w:b/>
                <w:szCs w:val="28"/>
              </w:rPr>
              <w:t>#194</w:t>
            </w:r>
          </w:p>
          <w:p w:rsidR="001C62AE" w:rsidRDefault="00D12D6B" w:rsidP="00F94FBE">
            <w:pPr>
              <w:spacing w:after="48"/>
              <w:rPr>
                <w:szCs w:val="28"/>
              </w:rPr>
            </w:pPr>
            <w:r w:rsidRPr="00705B03">
              <w:rPr>
                <w:b/>
                <w:szCs w:val="28"/>
              </w:rPr>
              <w:t>Citrus Heights, CA 95610</w:t>
            </w:r>
          </w:p>
        </w:tc>
      </w:tr>
    </w:tbl>
    <w:p w:rsidR="001C62AE" w:rsidRDefault="001C62AE" w:rsidP="001C62AE"/>
    <w:p w:rsidR="00A75FC5" w:rsidRPr="009A24D0" w:rsidRDefault="00A75FC5" w:rsidP="001C62AE">
      <w:pPr>
        <w:tabs>
          <w:tab w:val="left" w:pos="4994"/>
        </w:tabs>
        <w:rPr>
          <w:szCs w:val="24"/>
        </w:rPr>
      </w:pPr>
    </w:p>
    <w:sectPr w:rsidR="00A75FC5" w:rsidRPr="009A24D0"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C2" w:rsidRDefault="00EE51C2" w:rsidP="00055C8A">
      <w:r>
        <w:separator/>
      </w:r>
    </w:p>
  </w:endnote>
  <w:endnote w:type="continuationSeparator" w:id="0">
    <w:p w:rsidR="00EE51C2" w:rsidRDefault="00EE51C2"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rsidR="0042010F">
          <w:fldChar w:fldCharType="begin"/>
        </w:r>
        <w:r>
          <w:instrText xml:space="preserve"> PAGE   \* MERGEFORMAT </w:instrText>
        </w:r>
        <w:r w:rsidR="0042010F">
          <w:fldChar w:fldCharType="separate"/>
        </w:r>
        <w:r w:rsidR="008349E9">
          <w:rPr>
            <w:noProof/>
          </w:rPr>
          <w:t>28</w:t>
        </w:r>
        <w:r w:rsidR="0042010F">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C2" w:rsidRDefault="00EE51C2" w:rsidP="00055C8A">
      <w:r>
        <w:separator/>
      </w:r>
    </w:p>
  </w:footnote>
  <w:footnote w:type="continuationSeparator" w:id="0">
    <w:p w:rsidR="00EE51C2" w:rsidRDefault="00EE51C2" w:rsidP="00055C8A">
      <w:r>
        <w:continuationSeparator/>
      </w:r>
    </w:p>
  </w:footnote>
  <w:footnote w:id="1">
    <w:p w:rsidR="00B10B57" w:rsidRDefault="00B10B57" w:rsidP="00B10B57">
      <w:pPr>
        <w:pStyle w:val="FootnoteText"/>
        <w:spacing w:after="120"/>
      </w:pPr>
      <w:r>
        <w:rPr>
          <w:rStyle w:val="FootnoteReference"/>
        </w:rPr>
        <w:footnoteRef/>
      </w:r>
      <w:r>
        <w:t xml:space="preserve"> All further references to rules are to the Rules of Professional Conduct tha</w:t>
      </w:r>
      <w:r w:rsidR="009D2756">
        <w:t>t were in effect from September </w:t>
      </w:r>
      <w:r>
        <w:t>14, 1992</w:t>
      </w:r>
      <w:r w:rsidR="009D2756">
        <w:t>, to October </w:t>
      </w:r>
      <w:r>
        <w:t>31, 2018, unless otherwise noted.</w:t>
      </w:r>
    </w:p>
  </w:footnote>
  <w:footnote w:id="2">
    <w:p w:rsidR="00D24FEC" w:rsidRDefault="00D24FEC" w:rsidP="00430C5A">
      <w:pPr>
        <w:pStyle w:val="FootnoteText"/>
        <w:spacing w:after="120"/>
      </w:pPr>
      <w:r>
        <w:rPr>
          <w:rStyle w:val="FootnoteReference"/>
        </w:rPr>
        <w:footnoteRef/>
      </w:r>
      <w:r>
        <w:t xml:space="preserve"> As discussed further below, we find that </w:t>
      </w:r>
      <w:proofErr w:type="spellStart"/>
      <w:r>
        <w:t>Lingwood</w:t>
      </w:r>
      <w:proofErr w:type="spellEnd"/>
      <w:r>
        <w:t xml:space="preserve"> admitted to a rule</w:t>
      </w:r>
      <w:r w:rsidR="00DA1020">
        <w:t> </w:t>
      </w:r>
      <w:r>
        <w:t>3-300 violation</w:t>
      </w:r>
      <w:r w:rsidR="00430C5A">
        <w:t xml:space="preserve"> (count three)</w:t>
      </w:r>
      <w:r>
        <w:t xml:space="preserve"> in her pretrial statement.  However, </w:t>
      </w:r>
      <w:r w:rsidR="006E515A">
        <w:t>that admission</w:t>
      </w:r>
      <w:r w:rsidR="002B661E">
        <w:t xml:space="preserve"> does not accurately describe the scope of the violation</w:t>
      </w:r>
      <w:r w:rsidR="00430C5A">
        <w:t xml:space="preserve"> </w:t>
      </w:r>
      <w:r w:rsidR="009C60F4">
        <w:t xml:space="preserve">under the Probate Code </w:t>
      </w:r>
      <w:r w:rsidR="00430C5A">
        <w:t>(count two)</w:t>
      </w:r>
      <w:r w:rsidR="002B661E">
        <w:t xml:space="preserve">. </w:t>
      </w:r>
    </w:p>
  </w:footnote>
  <w:footnote w:id="3">
    <w:p w:rsidR="005841A7" w:rsidRDefault="005841A7" w:rsidP="006E515A">
      <w:pPr>
        <w:pStyle w:val="FootnoteText"/>
      </w:pPr>
      <w:r>
        <w:rPr>
          <w:rStyle w:val="FootnoteReference"/>
        </w:rPr>
        <w:footnoteRef/>
      </w:r>
      <w:r>
        <w:t xml:space="preserve"> All further references to sections are to the Business and Professions Code unless otherwise noted.</w:t>
      </w:r>
    </w:p>
  </w:footnote>
  <w:footnote w:id="4">
    <w:p w:rsidR="0090257E" w:rsidRDefault="0090257E" w:rsidP="005841A7">
      <w:pPr>
        <w:pStyle w:val="FootnoteText"/>
        <w:spacing w:after="120"/>
      </w:pPr>
      <w:r>
        <w:rPr>
          <w:rStyle w:val="FootnoteReference"/>
        </w:rPr>
        <w:footnoteRef/>
      </w:r>
      <w:r>
        <w:t xml:space="preserve"> The factual background is based on the </w:t>
      </w:r>
      <w:r w:rsidR="002015AD">
        <w:t xml:space="preserve">Stipulation, </w:t>
      </w:r>
      <w:r>
        <w:t>trial testimony, documentary evidence, and factual findings by the hearing judge, which are entitled to great weight.  (Rules Proc. of State Bar, rule 5.155(A).)</w:t>
      </w:r>
    </w:p>
  </w:footnote>
  <w:footnote w:id="5">
    <w:p w:rsidR="000D630B" w:rsidRDefault="000D630B" w:rsidP="00507A1C">
      <w:pPr>
        <w:pStyle w:val="TemplateFootnote"/>
      </w:pPr>
      <w:r>
        <w:rPr>
          <w:rStyle w:val="FootnoteReference"/>
        </w:rPr>
        <w:footnoteRef/>
      </w:r>
      <w:r>
        <w:t xml:space="preserve"> </w:t>
      </w:r>
      <w:r w:rsidR="00C43D48" w:rsidRPr="00C43D48">
        <w:t xml:space="preserve">We refer to the </w:t>
      </w:r>
      <w:r w:rsidR="00E91DBF">
        <w:t>family members</w:t>
      </w:r>
      <w:r w:rsidR="00C43D48" w:rsidRPr="00C43D48">
        <w:t xml:space="preserve"> by their first names </w:t>
      </w:r>
      <w:r w:rsidR="00507A1C">
        <w:t>for purposes of clarity</w:t>
      </w:r>
      <w:r w:rsidR="00C43D48" w:rsidRPr="00C43D48">
        <w:t xml:space="preserve"> and not out of disrespect.</w:t>
      </w:r>
      <w:r w:rsidR="00705014">
        <w:t xml:space="preserve">  Nancy Joan Doyle went by her middle name, which we also adopt in this opinion.</w:t>
      </w:r>
    </w:p>
  </w:footnote>
  <w:footnote w:id="6">
    <w:p w:rsidR="00242C74" w:rsidRDefault="00242C74">
      <w:pPr>
        <w:pStyle w:val="FootnoteText"/>
      </w:pPr>
      <w:r>
        <w:rPr>
          <w:rStyle w:val="FootnoteReference"/>
        </w:rPr>
        <w:footnoteRef/>
      </w:r>
      <w:r>
        <w:t xml:space="preserve"> The</w:t>
      </w:r>
      <w:r w:rsidR="00D92739">
        <w:t xml:space="preserve"> DPOA referred to the attorneys-in-</w:t>
      </w:r>
      <w:r>
        <w:t>fact as “agents.”</w:t>
      </w:r>
    </w:p>
  </w:footnote>
  <w:footnote w:id="7">
    <w:p w:rsidR="005B3192" w:rsidRDefault="005B3192" w:rsidP="00CB4036">
      <w:pPr>
        <w:pStyle w:val="FootnoteText"/>
      </w:pPr>
      <w:r>
        <w:rPr>
          <w:rStyle w:val="FootnoteReference"/>
        </w:rPr>
        <w:footnoteRef/>
      </w:r>
      <w:r>
        <w:t xml:space="preserve"> </w:t>
      </w:r>
      <w:proofErr w:type="spellStart"/>
      <w:r>
        <w:t>Lingwood</w:t>
      </w:r>
      <w:proofErr w:type="spellEnd"/>
      <w:r>
        <w:t xml:space="preserve"> deposited the money i</w:t>
      </w:r>
      <w:r w:rsidR="00AE3F31">
        <w:t>nto the</w:t>
      </w:r>
      <w:r w:rsidR="00420759">
        <w:t xml:space="preserve"> bank account of the</w:t>
      </w:r>
      <w:r w:rsidR="00AE3F31">
        <w:t xml:space="preserve"> “Rita M. </w:t>
      </w:r>
      <w:proofErr w:type="spellStart"/>
      <w:r w:rsidR="00AE3F31">
        <w:t>Lingwood</w:t>
      </w:r>
      <w:proofErr w:type="spellEnd"/>
      <w:r w:rsidR="00AE3F31">
        <w:t xml:space="preserve"> Trust,</w:t>
      </w:r>
      <w:r w:rsidR="00420759">
        <w:t>”</w:t>
      </w:r>
      <w:r w:rsidR="00AE3F31">
        <w:t xml:space="preserve"> </w:t>
      </w:r>
      <w:r w:rsidR="009B0242">
        <w:t>of</w:t>
      </w:r>
      <w:r w:rsidR="00AE3F31">
        <w:t xml:space="preserve"> which </w:t>
      </w:r>
      <w:r>
        <w:t>she was the trustee.</w:t>
      </w:r>
    </w:p>
  </w:footnote>
  <w:footnote w:id="8">
    <w:p w:rsidR="0066327B" w:rsidRDefault="0066327B" w:rsidP="007451F5">
      <w:pPr>
        <w:pStyle w:val="TemplateFootnote"/>
        <w:spacing w:after="0"/>
        <w:ind w:right="-288"/>
      </w:pPr>
      <w:r>
        <w:rPr>
          <w:rStyle w:val="FootnoteReference"/>
        </w:rPr>
        <w:footnoteRef/>
      </w:r>
      <w:r>
        <w:t xml:space="preserve"> We </w:t>
      </w:r>
      <w:r w:rsidR="00150503">
        <w:t>begin our culpability analysis with this count</w:t>
      </w:r>
      <w:r w:rsidR="001059CE">
        <w:t xml:space="preserve"> for the sake of clarity</w:t>
      </w:r>
      <w:r w:rsidR="007451F5">
        <w:t>;</w:t>
      </w:r>
      <w:r>
        <w:t xml:space="preserve"> our findings here affe</w:t>
      </w:r>
      <w:r w:rsidR="00150503">
        <w:t>ct our analysis under count two and explain the analysis for count one.</w:t>
      </w:r>
      <w:r w:rsidR="004B63A9">
        <w:t xml:space="preserve">  We note that </w:t>
      </w:r>
      <w:proofErr w:type="spellStart"/>
      <w:r w:rsidR="004B63A9">
        <w:t>Ling</w:t>
      </w:r>
      <w:r w:rsidR="00D1347B">
        <w:t>wood</w:t>
      </w:r>
      <w:proofErr w:type="spellEnd"/>
      <w:r w:rsidR="00D1347B">
        <w:t xml:space="preserve"> admitted</w:t>
      </w:r>
      <w:r w:rsidR="001479AA">
        <w:t xml:space="preserve"> </w:t>
      </w:r>
      <w:r w:rsidR="00D1347B">
        <w:t xml:space="preserve">that she </w:t>
      </w:r>
      <w:r w:rsidR="00B840A8">
        <w:t>failed to comply with</w:t>
      </w:r>
      <w:r w:rsidR="001479AA">
        <w:t xml:space="preserve"> rule </w:t>
      </w:r>
      <w:r w:rsidR="00D1347B">
        <w:t xml:space="preserve">3-300.  However, </w:t>
      </w:r>
      <w:r w:rsidR="007451F5">
        <w:t>as</w:t>
      </w:r>
      <w:r w:rsidR="00D1347B">
        <w:t xml:space="preserve"> we are not dealing with a typical “client</w:t>
      </w:r>
      <w:r w:rsidR="001479AA">
        <w:t>” under rule </w:t>
      </w:r>
      <w:r w:rsidR="00D1347B">
        <w:t xml:space="preserve">3-300, it is important to describe </w:t>
      </w:r>
      <w:r w:rsidR="00B840A8">
        <w:t>the nature of her noncompliance</w:t>
      </w:r>
      <w:r w:rsidR="00D1347B">
        <w:t>.</w:t>
      </w:r>
    </w:p>
  </w:footnote>
  <w:footnote w:id="9">
    <w:p w:rsidR="008E2454" w:rsidRDefault="008E2454" w:rsidP="008E2454">
      <w:pPr>
        <w:pStyle w:val="FootnoteText"/>
        <w:spacing w:after="120"/>
      </w:pPr>
      <w:r>
        <w:rPr>
          <w:rStyle w:val="FootnoteReference"/>
        </w:rPr>
        <w:footnoteRef/>
      </w:r>
      <w:r>
        <w:t xml:space="preserve"> The NDC refers to Bob, Belinda, and Gerald as the “trust beneficiaries</w:t>
      </w:r>
      <w:r w:rsidR="00D65AE1">
        <w:t>.</w:t>
      </w:r>
      <w:r>
        <w:t>”</w:t>
      </w:r>
      <w:r w:rsidR="00D65AE1">
        <w:t xml:space="preserve">  H</w:t>
      </w:r>
      <w:r>
        <w:t>owever, Bob was the Trust settlor and Belinda and Gerald were beneficiaries.</w:t>
      </w:r>
    </w:p>
  </w:footnote>
  <w:footnote w:id="10">
    <w:p w:rsidR="0066327B" w:rsidRDefault="0066327B" w:rsidP="006A5F29">
      <w:pPr>
        <w:pStyle w:val="FootnoteText"/>
      </w:pPr>
      <w:r>
        <w:rPr>
          <w:rStyle w:val="FootnoteReference"/>
        </w:rPr>
        <w:footnoteRef/>
      </w:r>
      <w:r>
        <w:t xml:space="preserve"> We note that OCTC </w:t>
      </w:r>
      <w:r w:rsidR="001479AA">
        <w:t>appeared</w:t>
      </w:r>
      <w:r w:rsidR="0059339A">
        <w:t xml:space="preserve"> to confuse</w:t>
      </w:r>
      <w:r>
        <w:t xml:space="preserve"> the specific </w:t>
      </w:r>
      <w:r w:rsidR="0059339A">
        <w:t xml:space="preserve">elements when charging the </w:t>
      </w:r>
      <w:r w:rsidR="0059339A" w:rsidRPr="0059339A">
        <w:t>rule</w:t>
      </w:r>
      <w:r w:rsidR="0059339A">
        <w:t> </w:t>
      </w:r>
      <w:r w:rsidR="0059339A" w:rsidRPr="0059339A">
        <w:t>3</w:t>
      </w:r>
      <w:r w:rsidR="0059339A">
        <w:t>-300 violation in the NDC by framing the violation as not “fair and reasonable” when “fair and reasonable” terms are only an aspect of one element of a rule 3-300 violation</w:t>
      </w:r>
      <w:r w:rsidR="004B63A9">
        <w:t xml:space="preserve">.  </w:t>
      </w:r>
      <w:r>
        <w:t xml:space="preserve">We analyze </w:t>
      </w:r>
      <w:proofErr w:type="spellStart"/>
      <w:r>
        <w:t>Lingwood’s</w:t>
      </w:r>
      <w:proofErr w:type="spellEnd"/>
      <w:r>
        <w:t xml:space="preserve"> conduct under the eleme</w:t>
      </w:r>
      <w:r w:rsidR="00D17740">
        <w:t xml:space="preserve">nts </w:t>
      </w:r>
      <w:r w:rsidR="00255BDC">
        <w:t xml:space="preserve">as </w:t>
      </w:r>
      <w:r w:rsidR="00D17740">
        <w:t>specifically stated in rule </w:t>
      </w:r>
      <w:r>
        <w:t>3-300.</w:t>
      </w:r>
    </w:p>
  </w:footnote>
  <w:footnote w:id="11">
    <w:p w:rsidR="0066327B" w:rsidRDefault="0066327B" w:rsidP="002D0076">
      <w:pPr>
        <w:pStyle w:val="FootnoteText"/>
        <w:spacing w:after="120"/>
      </w:pPr>
      <w:r>
        <w:rPr>
          <w:rStyle w:val="FootnoteReference"/>
        </w:rPr>
        <w:footnoteRef/>
      </w:r>
      <w:r>
        <w:t xml:space="preserve"> On review, </w:t>
      </w:r>
      <w:proofErr w:type="spellStart"/>
      <w:r>
        <w:t>Lingwood</w:t>
      </w:r>
      <w:proofErr w:type="spellEnd"/>
      <w:r>
        <w:t xml:space="preserve"> </w:t>
      </w:r>
      <w:r w:rsidR="002D0076">
        <w:t>ack</w:t>
      </w:r>
      <w:r w:rsidR="00222A38">
        <w:t>nowledged her violation of rule </w:t>
      </w:r>
      <w:r w:rsidR="002D0076">
        <w:t xml:space="preserve">3-300, but she contends that the hearing judge misrepresented the evidence because </w:t>
      </w:r>
      <w:r>
        <w:t>the terms of the loan were fair and reasonable.</w:t>
      </w:r>
      <w:r w:rsidR="00F44BEF">
        <w:t xml:space="preserve">  </w:t>
      </w:r>
      <w:r w:rsidR="0060799F">
        <w:t>No c</w:t>
      </w:r>
      <w:r w:rsidR="00CF0FF9">
        <w:t xml:space="preserve">lear and convincing evidence was produced at trial to establish </w:t>
      </w:r>
      <w:r w:rsidR="0060799F">
        <w:t>whether</w:t>
      </w:r>
      <w:r w:rsidR="002D0076">
        <w:t xml:space="preserve"> the loan’s terms were fair and reasonable</w:t>
      </w:r>
      <w:r w:rsidR="00CF0FF9">
        <w:t xml:space="preserve">.  </w:t>
      </w:r>
      <w:r w:rsidR="003C7BA7">
        <w:t>(</w:t>
      </w:r>
      <w:r w:rsidR="003C7BA7" w:rsidRPr="00AF0984">
        <w:rPr>
          <w:i/>
        </w:rPr>
        <w:t xml:space="preserve">Conservatorship of </w:t>
      </w:r>
      <w:proofErr w:type="spellStart"/>
      <w:r w:rsidR="003C7BA7" w:rsidRPr="00AF0984">
        <w:rPr>
          <w:i/>
        </w:rPr>
        <w:t>Wendland</w:t>
      </w:r>
      <w:proofErr w:type="spellEnd"/>
      <w:r w:rsidR="003C7BA7">
        <w:t xml:space="preserve"> (2001) 26 </w:t>
      </w:r>
      <w:r w:rsidR="00CF0FF9">
        <w:t xml:space="preserve">Cal.4th 519, 552 [clear and convincing evidence leaves </w:t>
      </w:r>
      <w:r w:rsidR="00CF0FF9" w:rsidRPr="00F03D05">
        <w:t>no</w:t>
      </w:r>
      <w:r w:rsidR="00CF0FF9">
        <w:t xml:space="preserve"> substantial doubt and is sufficiently strong to command unhesitating assent of every reasonable mind].</w:t>
      </w:r>
      <w:r w:rsidR="003C7BA7">
        <w:t>)</w:t>
      </w:r>
      <w:r w:rsidR="002D0076">
        <w:t xml:space="preserve">  </w:t>
      </w:r>
      <w:r w:rsidR="00277BF0">
        <w:t>But r</w:t>
      </w:r>
      <w:r w:rsidR="0060799F">
        <w:t xml:space="preserve">egardless of our ruling as to </w:t>
      </w:r>
      <w:r w:rsidR="00277BF0">
        <w:t xml:space="preserve">its </w:t>
      </w:r>
      <w:r w:rsidR="0060799F">
        <w:t>fairness or reasonableness</w:t>
      </w:r>
      <w:r w:rsidR="00CF0FF9">
        <w:t xml:space="preserve">, </w:t>
      </w:r>
      <w:proofErr w:type="spellStart"/>
      <w:r w:rsidR="00CF0FF9">
        <w:t>Lingwood</w:t>
      </w:r>
      <w:proofErr w:type="spellEnd"/>
      <w:r w:rsidR="00CF0FF9">
        <w:t xml:space="preserve"> would still be culpable of a rule</w:t>
      </w:r>
      <w:r w:rsidR="00E44F4A">
        <w:t> </w:t>
      </w:r>
      <w:r w:rsidR="00CF0FF9">
        <w:t xml:space="preserve">3-300 violation for </w:t>
      </w:r>
      <w:r w:rsidR="006554D6">
        <w:t>failing to comply with the other elements of the rule, as</w:t>
      </w:r>
      <w:r>
        <w:t xml:space="preserve"> stated above.</w:t>
      </w:r>
    </w:p>
  </w:footnote>
  <w:footnote w:id="12">
    <w:p w:rsidR="006E4B94" w:rsidRDefault="006E4B94" w:rsidP="00DE28CE">
      <w:pPr>
        <w:pStyle w:val="FootnoteText"/>
        <w:spacing w:after="120"/>
      </w:pPr>
      <w:r>
        <w:rPr>
          <w:rStyle w:val="FootnoteReference"/>
        </w:rPr>
        <w:footnoteRef/>
      </w:r>
      <w:r>
        <w:t xml:space="preserve"> Section 6068, subdivision (a), provides that it is the duty of an attorney to “support the Constitution and laws of the United States and of this state.”  </w:t>
      </w:r>
    </w:p>
  </w:footnote>
  <w:footnote w:id="13">
    <w:p w:rsidR="00C72347" w:rsidRDefault="00C72347" w:rsidP="006426FB">
      <w:pPr>
        <w:pStyle w:val="FootnoteText"/>
        <w:ind w:right="-144"/>
      </w:pPr>
      <w:r>
        <w:rPr>
          <w:rStyle w:val="FootnoteReference"/>
        </w:rPr>
        <w:footnoteRef/>
      </w:r>
      <w:r w:rsidR="006426FB">
        <w:t xml:space="preserve"> The NDC also alleged in </w:t>
      </w:r>
      <w:r>
        <w:t xml:space="preserve">count two that </w:t>
      </w:r>
      <w:proofErr w:type="spellStart"/>
      <w:r>
        <w:t>Lingwood</w:t>
      </w:r>
      <w:proofErr w:type="spellEnd"/>
      <w:r>
        <w:t xml:space="preserve"> violated Probate Code section</w:t>
      </w:r>
      <w:r w:rsidR="00E44F4A">
        <w:t> </w:t>
      </w:r>
      <w:r>
        <w:t xml:space="preserve">16060.  However, </w:t>
      </w:r>
      <w:r w:rsidR="00402786">
        <w:t>at trial, OCTC dis</w:t>
      </w:r>
      <w:r w:rsidR="00082329">
        <w:t>regarded</w:t>
      </w:r>
      <w:r w:rsidR="00402786">
        <w:t xml:space="preserve"> any reference to Probate C</w:t>
      </w:r>
      <w:r w:rsidR="00A16C70">
        <w:t>ode section</w:t>
      </w:r>
      <w:r w:rsidR="00E44F4A">
        <w:t> </w:t>
      </w:r>
      <w:r w:rsidR="00A16C70">
        <w:t>16060 in the NDC.</w:t>
      </w:r>
    </w:p>
  </w:footnote>
  <w:footnote w:id="14">
    <w:p w:rsidR="00003A2F" w:rsidRDefault="00003A2F" w:rsidP="00003A2F">
      <w:pPr>
        <w:pStyle w:val="FootnoteText"/>
      </w:pPr>
      <w:r>
        <w:rPr>
          <w:rStyle w:val="FootnoteReference"/>
        </w:rPr>
        <w:footnoteRef/>
      </w:r>
      <w:r>
        <w:t xml:space="preserve"> </w:t>
      </w:r>
      <w:r w:rsidRPr="00003A2F">
        <w:t xml:space="preserve">We note that </w:t>
      </w:r>
      <w:proofErr w:type="spellStart"/>
      <w:r w:rsidRPr="00003A2F">
        <w:t>Lingwood</w:t>
      </w:r>
      <w:proofErr w:type="spellEnd"/>
      <w:r w:rsidRPr="00003A2F">
        <w:t xml:space="preserve"> stated in her pretrial statement that she “failed to comply with Probate Code section 16002.”  However, </w:t>
      </w:r>
      <w:proofErr w:type="spellStart"/>
      <w:r w:rsidRPr="00003A2F">
        <w:t>Lingwood</w:t>
      </w:r>
      <w:proofErr w:type="spellEnd"/>
      <w:r w:rsidRPr="00003A2F">
        <w:t xml:space="preserve"> did not describe </w:t>
      </w:r>
      <w:r w:rsidR="006F7EA1">
        <w:t>the</w:t>
      </w:r>
      <w:r w:rsidRPr="00003A2F">
        <w:t xml:space="preserve"> facts</w:t>
      </w:r>
      <w:r w:rsidR="006F7EA1">
        <w:t xml:space="preserve"> that</w:t>
      </w:r>
      <w:r w:rsidRPr="00003A2F">
        <w:t xml:space="preserve"> led her to believe she violated this section.  </w:t>
      </w:r>
      <w:r>
        <w:t xml:space="preserve">Our analysis of </w:t>
      </w:r>
      <w:r w:rsidR="006F7EA1">
        <w:t>her</w:t>
      </w:r>
      <w:r>
        <w:t xml:space="preserve"> culpability under count two stems from her violation of her fiduciary </w:t>
      </w:r>
      <w:r w:rsidR="007238CA">
        <w:t xml:space="preserve">duties as an attorney to the beneficiaries. </w:t>
      </w:r>
    </w:p>
  </w:footnote>
  <w:footnote w:id="15">
    <w:p w:rsidR="00956546" w:rsidRPr="00573B4C" w:rsidRDefault="00956546" w:rsidP="009E1641">
      <w:pPr>
        <w:pStyle w:val="FootnoteText"/>
      </w:pPr>
      <w:r>
        <w:rPr>
          <w:rStyle w:val="FootnoteReference"/>
        </w:rPr>
        <w:footnoteRef/>
      </w:r>
      <w:r>
        <w:t xml:space="preserve"> The hearing judge found that </w:t>
      </w:r>
      <w:proofErr w:type="spellStart"/>
      <w:r>
        <w:t>Lingwood</w:t>
      </w:r>
      <w:proofErr w:type="spellEnd"/>
      <w:r>
        <w:t xml:space="preserve"> was not credible when she testified that </w:t>
      </w:r>
      <w:r w:rsidR="007B30C0">
        <w:t>she</w:t>
      </w:r>
      <w:r>
        <w:t xml:space="preserve"> believed she had authority as the trustee to make the loan to herself.  The judge did not explain the reason for this credibility finding.  We do not adopt he</w:t>
      </w:r>
      <w:r w:rsidR="00AC149A">
        <w:t>r</w:t>
      </w:r>
      <w:r>
        <w:t xml:space="preserve"> credibility finding as the evidence corroborates </w:t>
      </w:r>
      <w:proofErr w:type="spellStart"/>
      <w:r>
        <w:t>Lingwood’s</w:t>
      </w:r>
      <w:proofErr w:type="spellEnd"/>
      <w:r>
        <w:t xml:space="preserve"> understanding that she could self-deal as the trustee.</w:t>
      </w:r>
      <w:r w:rsidR="00573B4C">
        <w:t xml:space="preserve">  (</w:t>
      </w:r>
      <w:r w:rsidR="00573B4C">
        <w:rPr>
          <w:i/>
        </w:rPr>
        <w:t xml:space="preserve">In the Matter of </w:t>
      </w:r>
      <w:proofErr w:type="spellStart"/>
      <w:r w:rsidR="00573B4C">
        <w:rPr>
          <w:i/>
        </w:rPr>
        <w:t>DeMassa</w:t>
      </w:r>
      <w:proofErr w:type="spellEnd"/>
      <w:r w:rsidR="00A7319E">
        <w:t xml:space="preserve"> (Review Dept. 1991) 1 </w:t>
      </w:r>
      <w:r w:rsidR="00573B4C">
        <w:t xml:space="preserve">Cal. State Bar Ct. </w:t>
      </w:r>
      <w:proofErr w:type="spellStart"/>
      <w:r w:rsidR="00573B4C">
        <w:t>Rptr</w:t>
      </w:r>
      <w:proofErr w:type="spellEnd"/>
      <w:r w:rsidR="00573B4C">
        <w:t>. 737, 748 [while factual and credibility findings by finder of fact are to be accorded great weight, on independent review of record, Review Department may decline to adopt hearing judge’s findings if insufficient evidence exists in record to support them].)</w:t>
      </w:r>
    </w:p>
  </w:footnote>
  <w:footnote w:id="16">
    <w:p w:rsidR="00625595" w:rsidRDefault="00625595" w:rsidP="00625595">
      <w:pPr>
        <w:pStyle w:val="FootnoteText"/>
        <w:ind w:right="-144"/>
      </w:pPr>
      <w:r>
        <w:rPr>
          <w:rStyle w:val="FootnoteReference"/>
        </w:rPr>
        <w:footnoteRef/>
      </w:r>
      <w:r>
        <w:t xml:space="preserve"> The NDC also alleged in count four that </w:t>
      </w:r>
      <w:proofErr w:type="spellStart"/>
      <w:r>
        <w:t>Lingwood</w:t>
      </w:r>
      <w:proofErr w:type="spellEnd"/>
      <w:r>
        <w:t xml:space="preserve"> made the following misrepresentation: “The Golden 1 Credit Union requirement of only one signature for [DPOA] is why I am the only signer on [Bob’s] personal account.  [Belinda] was at the Golden 1 Credit Union and her signature was notarized by a Golden 1 Credit Union employee . . . [who] explained their requirement and [Belinda] agreed and signed the Resignation of Agent Under [DPOA].”  The hearing judge found that OCTC did not establish by clear and convincing evidence that this statement was a misrepresentation.  OCTC did not appeal this finding.  We agree with the judge.</w:t>
      </w:r>
    </w:p>
  </w:footnote>
  <w:footnote w:id="17">
    <w:p w:rsidR="00D71F75" w:rsidRDefault="00D71F75" w:rsidP="001A0AD7">
      <w:pPr>
        <w:pStyle w:val="TemplateFootnote"/>
        <w:spacing w:after="0"/>
      </w:pPr>
      <w:r>
        <w:rPr>
          <w:rStyle w:val="FootnoteReference"/>
        </w:rPr>
        <w:footnoteRef/>
      </w:r>
      <w:r>
        <w:t xml:space="preserve"> </w:t>
      </w:r>
      <w:r w:rsidR="00B173A5">
        <w:t>According to the Trust accounting, t</w:t>
      </w:r>
      <w:r w:rsidR="008B6A2F">
        <w:t>he Trust was valued at over</w:t>
      </w:r>
      <w:r w:rsidR="00B173A5">
        <w:t xml:space="preserve"> $400,000 in June 2016 and Bob’s estate had assets over $100,000.</w:t>
      </w:r>
    </w:p>
  </w:footnote>
  <w:footnote w:id="18">
    <w:p w:rsidR="00BA1E01" w:rsidRDefault="00BA1E01" w:rsidP="00BA1E01">
      <w:pPr>
        <w:pStyle w:val="FootnoteText"/>
        <w:spacing w:after="120"/>
      </w:pPr>
      <w:r>
        <w:rPr>
          <w:rStyle w:val="FootnoteReference"/>
        </w:rPr>
        <w:footnoteRef/>
      </w:r>
      <w:r>
        <w:t xml:space="preserve"> Rules of Procedure of the State Bar, title IV, Standards for Attorney Sanctions for Professional Misconduct.  All further references to standards are to this source.</w:t>
      </w:r>
    </w:p>
  </w:footnote>
  <w:footnote w:id="19">
    <w:p w:rsidR="001C11B6" w:rsidRPr="00385B56" w:rsidRDefault="001C11B6" w:rsidP="005D16EB">
      <w:pPr>
        <w:pStyle w:val="FootnoteText"/>
      </w:pPr>
      <w:r>
        <w:rPr>
          <w:rStyle w:val="FootnoteReference"/>
        </w:rPr>
        <w:footnoteRef/>
      </w:r>
      <w:r>
        <w:t xml:space="preserve"> </w:t>
      </w:r>
      <w:r w:rsidR="00C71CD8">
        <w:t>W</w:t>
      </w:r>
      <w:r w:rsidR="00D5690A">
        <w:t>e note that s</w:t>
      </w:r>
      <w:r w:rsidR="00F663C8">
        <w:t>ubdivision (c) of section </w:t>
      </w:r>
      <w:r>
        <w:t>6086.10 further provides that a</w:t>
      </w:r>
      <w:r w:rsidR="00F663C8">
        <w:t>n attorney</w:t>
      </w:r>
      <w:r>
        <w:t xml:space="preserve"> may be granted relief</w:t>
      </w:r>
      <w:r w:rsidR="005C06EB">
        <w:t>, in whole or in part,</w:t>
      </w:r>
      <w:r>
        <w:t xml:space="preserve"> from an order assessing costs </w:t>
      </w:r>
      <w:r w:rsidR="005C06EB">
        <w:t xml:space="preserve">under this section, in the discretion of the State Bar </w:t>
      </w:r>
      <w:r w:rsidR="0049677F">
        <w:t>Court</w:t>
      </w:r>
      <w:r w:rsidR="00F663C8">
        <w:t>,</w:t>
      </w:r>
      <w:r w:rsidR="0049677F">
        <w:t xml:space="preserve"> </w:t>
      </w:r>
      <w:r w:rsidR="005C06EB">
        <w:t>for good cause shown.</w:t>
      </w:r>
      <w:r w:rsidR="00FB2FB0">
        <w:t xml:space="preserve">  (</w:t>
      </w:r>
      <w:r w:rsidR="00F663C8">
        <w:t xml:space="preserve">See also </w:t>
      </w:r>
      <w:r w:rsidR="0049677F">
        <w:t>Rules Proc</w:t>
      </w:r>
      <w:r w:rsidR="006F461D">
        <w:t>.</w:t>
      </w:r>
      <w:r w:rsidR="0049677F">
        <w:t xml:space="preserve"> of State Bar</w:t>
      </w:r>
      <w:r w:rsidR="006F461D">
        <w:t>, rule 5.130</w:t>
      </w:r>
      <w:r w:rsidR="005D16EB">
        <w:t xml:space="preserve">; </w:t>
      </w:r>
      <w:r w:rsidR="005D16EB">
        <w:rPr>
          <w:i/>
        </w:rPr>
        <w:t>In the Matter of Respondent J</w:t>
      </w:r>
      <w:r w:rsidR="00F663C8">
        <w:t xml:space="preserve"> (Review Dept. 1993) 2 </w:t>
      </w:r>
      <w:r w:rsidR="005D16EB">
        <w:t xml:space="preserve">Cal. State Bar Ct. </w:t>
      </w:r>
      <w:proofErr w:type="spellStart"/>
      <w:r w:rsidR="005D16EB">
        <w:t>Rptr</w:t>
      </w:r>
      <w:proofErr w:type="spellEnd"/>
      <w:r w:rsidR="005D16EB">
        <w:t>. 273</w:t>
      </w:r>
      <w:r w:rsidR="00AF15F4">
        <w:t>;</w:t>
      </w:r>
      <w:r w:rsidR="00385B56">
        <w:t xml:space="preserve"> </w:t>
      </w:r>
      <w:r w:rsidR="00385B56">
        <w:rPr>
          <w:i/>
        </w:rPr>
        <w:t xml:space="preserve">In the Matter of </w:t>
      </w:r>
      <w:proofErr w:type="spellStart"/>
      <w:r w:rsidR="00385B56">
        <w:rPr>
          <w:i/>
        </w:rPr>
        <w:t>Langfus</w:t>
      </w:r>
      <w:proofErr w:type="spellEnd"/>
      <w:r w:rsidR="00385B56">
        <w:t xml:space="preserve"> (Review Dept. 1994</w:t>
      </w:r>
      <w:r w:rsidR="009E6B12">
        <w:t>) 3 </w:t>
      </w:r>
      <w:r w:rsidR="000C4F46">
        <w:t xml:space="preserve">Cal. State Bar Ct. </w:t>
      </w:r>
      <w:proofErr w:type="spellStart"/>
      <w:r w:rsidR="000C4F46">
        <w:t>Rptr</w:t>
      </w:r>
      <w:proofErr w:type="spellEnd"/>
      <w:r w:rsidR="000C4F46">
        <w:t>. 161, 168</w:t>
      </w:r>
      <w:r w:rsidR="00AF15F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0A"/>
    <w:rsid w:val="00000D04"/>
    <w:rsid w:val="00001AA4"/>
    <w:rsid w:val="00003A2F"/>
    <w:rsid w:val="000052D4"/>
    <w:rsid w:val="000101BB"/>
    <w:rsid w:val="00011C6F"/>
    <w:rsid w:val="000133E8"/>
    <w:rsid w:val="000151DD"/>
    <w:rsid w:val="000161FD"/>
    <w:rsid w:val="000179D5"/>
    <w:rsid w:val="00021186"/>
    <w:rsid w:val="00023F1A"/>
    <w:rsid w:val="00024682"/>
    <w:rsid w:val="00024E29"/>
    <w:rsid w:val="00027125"/>
    <w:rsid w:val="00027A00"/>
    <w:rsid w:val="00031CE7"/>
    <w:rsid w:val="0003268E"/>
    <w:rsid w:val="0003339E"/>
    <w:rsid w:val="000334ED"/>
    <w:rsid w:val="00033851"/>
    <w:rsid w:val="000340E2"/>
    <w:rsid w:val="00035414"/>
    <w:rsid w:val="0003635D"/>
    <w:rsid w:val="00041605"/>
    <w:rsid w:val="000432A2"/>
    <w:rsid w:val="000443B2"/>
    <w:rsid w:val="00046ABA"/>
    <w:rsid w:val="00050D2C"/>
    <w:rsid w:val="00053DEE"/>
    <w:rsid w:val="00055C8A"/>
    <w:rsid w:val="00055D3E"/>
    <w:rsid w:val="00056A8C"/>
    <w:rsid w:val="00057284"/>
    <w:rsid w:val="000638BE"/>
    <w:rsid w:val="00065A44"/>
    <w:rsid w:val="00066817"/>
    <w:rsid w:val="000732A4"/>
    <w:rsid w:val="0007388E"/>
    <w:rsid w:val="00073AE6"/>
    <w:rsid w:val="00073E72"/>
    <w:rsid w:val="00075DED"/>
    <w:rsid w:val="000760B1"/>
    <w:rsid w:val="00076FB9"/>
    <w:rsid w:val="0007708E"/>
    <w:rsid w:val="000771E2"/>
    <w:rsid w:val="00077A10"/>
    <w:rsid w:val="000801F7"/>
    <w:rsid w:val="00082329"/>
    <w:rsid w:val="0008642F"/>
    <w:rsid w:val="000873B7"/>
    <w:rsid w:val="000874CD"/>
    <w:rsid w:val="00092189"/>
    <w:rsid w:val="000927DA"/>
    <w:rsid w:val="00093A17"/>
    <w:rsid w:val="00094A7B"/>
    <w:rsid w:val="000973DA"/>
    <w:rsid w:val="0009797B"/>
    <w:rsid w:val="00097F1D"/>
    <w:rsid w:val="000A0178"/>
    <w:rsid w:val="000A27CA"/>
    <w:rsid w:val="000A2A77"/>
    <w:rsid w:val="000A5005"/>
    <w:rsid w:val="000A5822"/>
    <w:rsid w:val="000A70CC"/>
    <w:rsid w:val="000A7518"/>
    <w:rsid w:val="000A7FB9"/>
    <w:rsid w:val="000B0B46"/>
    <w:rsid w:val="000B1553"/>
    <w:rsid w:val="000B27AE"/>
    <w:rsid w:val="000B3BA7"/>
    <w:rsid w:val="000B4AD9"/>
    <w:rsid w:val="000C3BC3"/>
    <w:rsid w:val="000C3BE0"/>
    <w:rsid w:val="000C4D16"/>
    <w:rsid w:val="000C4F46"/>
    <w:rsid w:val="000C5F0E"/>
    <w:rsid w:val="000C6081"/>
    <w:rsid w:val="000D4BF4"/>
    <w:rsid w:val="000D630B"/>
    <w:rsid w:val="000D6D67"/>
    <w:rsid w:val="000D78E2"/>
    <w:rsid w:val="000E0A7C"/>
    <w:rsid w:val="000E1442"/>
    <w:rsid w:val="000E23F8"/>
    <w:rsid w:val="000E5F69"/>
    <w:rsid w:val="000E6964"/>
    <w:rsid w:val="000F0D80"/>
    <w:rsid w:val="000F468B"/>
    <w:rsid w:val="000F4803"/>
    <w:rsid w:val="000F6865"/>
    <w:rsid w:val="00100CB9"/>
    <w:rsid w:val="00102ED6"/>
    <w:rsid w:val="0010422E"/>
    <w:rsid w:val="001059CE"/>
    <w:rsid w:val="00107A6A"/>
    <w:rsid w:val="001109B6"/>
    <w:rsid w:val="00113217"/>
    <w:rsid w:val="001203C3"/>
    <w:rsid w:val="001205C5"/>
    <w:rsid w:val="00122D63"/>
    <w:rsid w:val="00123B02"/>
    <w:rsid w:val="0012609C"/>
    <w:rsid w:val="0012797A"/>
    <w:rsid w:val="00130242"/>
    <w:rsid w:val="00130A63"/>
    <w:rsid w:val="00130D10"/>
    <w:rsid w:val="001479AA"/>
    <w:rsid w:val="00150503"/>
    <w:rsid w:val="00150818"/>
    <w:rsid w:val="00152F84"/>
    <w:rsid w:val="001532E6"/>
    <w:rsid w:val="001537C1"/>
    <w:rsid w:val="001541FC"/>
    <w:rsid w:val="0015497C"/>
    <w:rsid w:val="00157AB3"/>
    <w:rsid w:val="00160894"/>
    <w:rsid w:val="00162421"/>
    <w:rsid w:val="001633B2"/>
    <w:rsid w:val="00163A7B"/>
    <w:rsid w:val="00182976"/>
    <w:rsid w:val="00186F37"/>
    <w:rsid w:val="001905F4"/>
    <w:rsid w:val="00193534"/>
    <w:rsid w:val="0019559C"/>
    <w:rsid w:val="00195EB1"/>
    <w:rsid w:val="00196295"/>
    <w:rsid w:val="001A0AD7"/>
    <w:rsid w:val="001A0B07"/>
    <w:rsid w:val="001A11B8"/>
    <w:rsid w:val="001A2471"/>
    <w:rsid w:val="001A2DCF"/>
    <w:rsid w:val="001A3082"/>
    <w:rsid w:val="001A6772"/>
    <w:rsid w:val="001A6CD9"/>
    <w:rsid w:val="001B0733"/>
    <w:rsid w:val="001B12A4"/>
    <w:rsid w:val="001B208B"/>
    <w:rsid w:val="001B21E7"/>
    <w:rsid w:val="001B2F99"/>
    <w:rsid w:val="001B3B9E"/>
    <w:rsid w:val="001B5906"/>
    <w:rsid w:val="001C0964"/>
    <w:rsid w:val="001C11B6"/>
    <w:rsid w:val="001C1777"/>
    <w:rsid w:val="001C3EA1"/>
    <w:rsid w:val="001C4709"/>
    <w:rsid w:val="001C48D5"/>
    <w:rsid w:val="001C62AE"/>
    <w:rsid w:val="001D3A28"/>
    <w:rsid w:val="001D3AA0"/>
    <w:rsid w:val="001D550F"/>
    <w:rsid w:val="001D69C0"/>
    <w:rsid w:val="001D74F0"/>
    <w:rsid w:val="001D7AF8"/>
    <w:rsid w:val="001E3F84"/>
    <w:rsid w:val="001E595A"/>
    <w:rsid w:val="001E5A9B"/>
    <w:rsid w:val="001E64A0"/>
    <w:rsid w:val="001F6B73"/>
    <w:rsid w:val="002015AD"/>
    <w:rsid w:val="002028CF"/>
    <w:rsid w:val="0020345A"/>
    <w:rsid w:val="00203644"/>
    <w:rsid w:val="002043F5"/>
    <w:rsid w:val="00206800"/>
    <w:rsid w:val="00207729"/>
    <w:rsid w:val="00211294"/>
    <w:rsid w:val="00212580"/>
    <w:rsid w:val="00216825"/>
    <w:rsid w:val="00216E90"/>
    <w:rsid w:val="002173B5"/>
    <w:rsid w:val="00222A38"/>
    <w:rsid w:val="00223504"/>
    <w:rsid w:val="00223BF0"/>
    <w:rsid w:val="00223CB9"/>
    <w:rsid w:val="002270DB"/>
    <w:rsid w:val="00227454"/>
    <w:rsid w:val="002324DD"/>
    <w:rsid w:val="002335E5"/>
    <w:rsid w:val="00234D03"/>
    <w:rsid w:val="0023766E"/>
    <w:rsid w:val="00240B3C"/>
    <w:rsid w:val="002413A7"/>
    <w:rsid w:val="0024299E"/>
    <w:rsid w:val="00242C74"/>
    <w:rsid w:val="00243658"/>
    <w:rsid w:val="00243A9D"/>
    <w:rsid w:val="00244A80"/>
    <w:rsid w:val="002464C0"/>
    <w:rsid w:val="00246C61"/>
    <w:rsid w:val="002508B4"/>
    <w:rsid w:val="002518C1"/>
    <w:rsid w:val="00252C67"/>
    <w:rsid w:val="00253467"/>
    <w:rsid w:val="00254EC2"/>
    <w:rsid w:val="00255BDC"/>
    <w:rsid w:val="00260436"/>
    <w:rsid w:val="002628F5"/>
    <w:rsid w:val="002642AC"/>
    <w:rsid w:val="00264EEC"/>
    <w:rsid w:val="00265642"/>
    <w:rsid w:val="002700C4"/>
    <w:rsid w:val="00271D54"/>
    <w:rsid w:val="00276E71"/>
    <w:rsid w:val="00277BF0"/>
    <w:rsid w:val="002813EF"/>
    <w:rsid w:val="00281F9C"/>
    <w:rsid w:val="00285131"/>
    <w:rsid w:val="0028625D"/>
    <w:rsid w:val="00287D38"/>
    <w:rsid w:val="00290A64"/>
    <w:rsid w:val="00291FC8"/>
    <w:rsid w:val="00292148"/>
    <w:rsid w:val="00293579"/>
    <w:rsid w:val="002942A7"/>
    <w:rsid w:val="002944AA"/>
    <w:rsid w:val="00295665"/>
    <w:rsid w:val="002A010C"/>
    <w:rsid w:val="002A2954"/>
    <w:rsid w:val="002A2F9E"/>
    <w:rsid w:val="002A535A"/>
    <w:rsid w:val="002A5DE0"/>
    <w:rsid w:val="002A76FF"/>
    <w:rsid w:val="002B1381"/>
    <w:rsid w:val="002B1A81"/>
    <w:rsid w:val="002B456F"/>
    <w:rsid w:val="002B52EC"/>
    <w:rsid w:val="002B5897"/>
    <w:rsid w:val="002B63CF"/>
    <w:rsid w:val="002B661E"/>
    <w:rsid w:val="002C12ED"/>
    <w:rsid w:val="002C1DF8"/>
    <w:rsid w:val="002C3B2A"/>
    <w:rsid w:val="002C7CCE"/>
    <w:rsid w:val="002D0076"/>
    <w:rsid w:val="002D0881"/>
    <w:rsid w:val="002D2088"/>
    <w:rsid w:val="002D3584"/>
    <w:rsid w:val="002D4DCA"/>
    <w:rsid w:val="002E4FAF"/>
    <w:rsid w:val="002F0321"/>
    <w:rsid w:val="002F3BFA"/>
    <w:rsid w:val="002F45AA"/>
    <w:rsid w:val="00300BB8"/>
    <w:rsid w:val="00301005"/>
    <w:rsid w:val="00303C70"/>
    <w:rsid w:val="00307288"/>
    <w:rsid w:val="00311270"/>
    <w:rsid w:val="00311866"/>
    <w:rsid w:val="003130C9"/>
    <w:rsid w:val="003137F2"/>
    <w:rsid w:val="003209BE"/>
    <w:rsid w:val="003260F8"/>
    <w:rsid w:val="003263DD"/>
    <w:rsid w:val="00326AFD"/>
    <w:rsid w:val="003313E4"/>
    <w:rsid w:val="00337DF3"/>
    <w:rsid w:val="003427DA"/>
    <w:rsid w:val="00342ACD"/>
    <w:rsid w:val="003431AA"/>
    <w:rsid w:val="003437D4"/>
    <w:rsid w:val="00345541"/>
    <w:rsid w:val="00345C28"/>
    <w:rsid w:val="003500CB"/>
    <w:rsid w:val="003512B9"/>
    <w:rsid w:val="0035146C"/>
    <w:rsid w:val="003523B9"/>
    <w:rsid w:val="003525E2"/>
    <w:rsid w:val="00354212"/>
    <w:rsid w:val="0035432F"/>
    <w:rsid w:val="00356D57"/>
    <w:rsid w:val="00357051"/>
    <w:rsid w:val="0036002C"/>
    <w:rsid w:val="00360DE3"/>
    <w:rsid w:val="00361B68"/>
    <w:rsid w:val="00361DCE"/>
    <w:rsid w:val="00363847"/>
    <w:rsid w:val="003639BB"/>
    <w:rsid w:val="00364CE3"/>
    <w:rsid w:val="00367461"/>
    <w:rsid w:val="00371C05"/>
    <w:rsid w:val="00372168"/>
    <w:rsid w:val="00372874"/>
    <w:rsid w:val="00373399"/>
    <w:rsid w:val="00374340"/>
    <w:rsid w:val="00376BFD"/>
    <w:rsid w:val="00376D2D"/>
    <w:rsid w:val="0038242A"/>
    <w:rsid w:val="003825A5"/>
    <w:rsid w:val="00382790"/>
    <w:rsid w:val="00384CAF"/>
    <w:rsid w:val="00385B56"/>
    <w:rsid w:val="0039098A"/>
    <w:rsid w:val="0039486F"/>
    <w:rsid w:val="00394DCE"/>
    <w:rsid w:val="00397270"/>
    <w:rsid w:val="00397C82"/>
    <w:rsid w:val="003A0154"/>
    <w:rsid w:val="003A023F"/>
    <w:rsid w:val="003A10D9"/>
    <w:rsid w:val="003A1884"/>
    <w:rsid w:val="003A3F67"/>
    <w:rsid w:val="003A5F40"/>
    <w:rsid w:val="003B525C"/>
    <w:rsid w:val="003B560B"/>
    <w:rsid w:val="003B6942"/>
    <w:rsid w:val="003C0036"/>
    <w:rsid w:val="003C0242"/>
    <w:rsid w:val="003C0D2E"/>
    <w:rsid w:val="003C1E44"/>
    <w:rsid w:val="003C3152"/>
    <w:rsid w:val="003C453C"/>
    <w:rsid w:val="003C61D0"/>
    <w:rsid w:val="003C7BA7"/>
    <w:rsid w:val="003D09FD"/>
    <w:rsid w:val="003D1342"/>
    <w:rsid w:val="003D1D59"/>
    <w:rsid w:val="003D1DA2"/>
    <w:rsid w:val="003D3F27"/>
    <w:rsid w:val="003D41D0"/>
    <w:rsid w:val="003D7D88"/>
    <w:rsid w:val="003E2BE1"/>
    <w:rsid w:val="003E5A62"/>
    <w:rsid w:val="003F06DF"/>
    <w:rsid w:val="003F1D9A"/>
    <w:rsid w:val="003F3282"/>
    <w:rsid w:val="003F32A3"/>
    <w:rsid w:val="003F4A5C"/>
    <w:rsid w:val="003F5A0E"/>
    <w:rsid w:val="003F5E6C"/>
    <w:rsid w:val="003F76A5"/>
    <w:rsid w:val="00402786"/>
    <w:rsid w:val="004033F7"/>
    <w:rsid w:val="00403642"/>
    <w:rsid w:val="00405215"/>
    <w:rsid w:val="00411450"/>
    <w:rsid w:val="0042010F"/>
    <w:rsid w:val="00420759"/>
    <w:rsid w:val="0042088C"/>
    <w:rsid w:val="00420AAA"/>
    <w:rsid w:val="00420E15"/>
    <w:rsid w:val="00422359"/>
    <w:rsid w:val="00423B7A"/>
    <w:rsid w:val="00426015"/>
    <w:rsid w:val="004273BF"/>
    <w:rsid w:val="00430881"/>
    <w:rsid w:val="00430C5A"/>
    <w:rsid w:val="004321AA"/>
    <w:rsid w:val="004328BD"/>
    <w:rsid w:val="00432B21"/>
    <w:rsid w:val="00432DD3"/>
    <w:rsid w:val="004330DE"/>
    <w:rsid w:val="00434FA7"/>
    <w:rsid w:val="00441711"/>
    <w:rsid w:val="00442B75"/>
    <w:rsid w:val="00442F3C"/>
    <w:rsid w:val="00447791"/>
    <w:rsid w:val="004531F4"/>
    <w:rsid w:val="00453603"/>
    <w:rsid w:val="00454170"/>
    <w:rsid w:val="00454573"/>
    <w:rsid w:val="00454C59"/>
    <w:rsid w:val="00454E8C"/>
    <w:rsid w:val="00454F60"/>
    <w:rsid w:val="00455441"/>
    <w:rsid w:val="004565B8"/>
    <w:rsid w:val="004611EC"/>
    <w:rsid w:val="0046267A"/>
    <w:rsid w:val="0046483B"/>
    <w:rsid w:val="0046581A"/>
    <w:rsid w:val="00466799"/>
    <w:rsid w:val="004738F0"/>
    <w:rsid w:val="00474987"/>
    <w:rsid w:val="00482E57"/>
    <w:rsid w:val="00486056"/>
    <w:rsid w:val="00487E01"/>
    <w:rsid w:val="004950B1"/>
    <w:rsid w:val="00495384"/>
    <w:rsid w:val="0049677F"/>
    <w:rsid w:val="00497707"/>
    <w:rsid w:val="00497A65"/>
    <w:rsid w:val="004A3BAC"/>
    <w:rsid w:val="004A466F"/>
    <w:rsid w:val="004A561C"/>
    <w:rsid w:val="004A651E"/>
    <w:rsid w:val="004A7AF9"/>
    <w:rsid w:val="004A7CBE"/>
    <w:rsid w:val="004B1B3E"/>
    <w:rsid w:val="004B2660"/>
    <w:rsid w:val="004B4287"/>
    <w:rsid w:val="004B63A9"/>
    <w:rsid w:val="004C0A52"/>
    <w:rsid w:val="004C10EF"/>
    <w:rsid w:val="004C6057"/>
    <w:rsid w:val="004C6A45"/>
    <w:rsid w:val="004C6E95"/>
    <w:rsid w:val="004D1F7F"/>
    <w:rsid w:val="004D229E"/>
    <w:rsid w:val="004D30B6"/>
    <w:rsid w:val="004D32E9"/>
    <w:rsid w:val="004D42A8"/>
    <w:rsid w:val="004D603B"/>
    <w:rsid w:val="004D6B66"/>
    <w:rsid w:val="004E0D84"/>
    <w:rsid w:val="004E25DD"/>
    <w:rsid w:val="004E518B"/>
    <w:rsid w:val="004E585D"/>
    <w:rsid w:val="004E60AE"/>
    <w:rsid w:val="004F1099"/>
    <w:rsid w:val="004F3E8F"/>
    <w:rsid w:val="004F4322"/>
    <w:rsid w:val="004F44B2"/>
    <w:rsid w:val="004F593F"/>
    <w:rsid w:val="004F5E20"/>
    <w:rsid w:val="004F622B"/>
    <w:rsid w:val="004F76A8"/>
    <w:rsid w:val="004F7E87"/>
    <w:rsid w:val="0050108B"/>
    <w:rsid w:val="0050129A"/>
    <w:rsid w:val="00501EEF"/>
    <w:rsid w:val="00502BB0"/>
    <w:rsid w:val="0050483E"/>
    <w:rsid w:val="00505748"/>
    <w:rsid w:val="00507A1C"/>
    <w:rsid w:val="00513B91"/>
    <w:rsid w:val="00514D79"/>
    <w:rsid w:val="00517926"/>
    <w:rsid w:val="00520828"/>
    <w:rsid w:val="0052136E"/>
    <w:rsid w:val="0052439C"/>
    <w:rsid w:val="005256A8"/>
    <w:rsid w:val="0053088F"/>
    <w:rsid w:val="005324C6"/>
    <w:rsid w:val="00534A24"/>
    <w:rsid w:val="005352D8"/>
    <w:rsid w:val="00535D35"/>
    <w:rsid w:val="00535D40"/>
    <w:rsid w:val="00541E90"/>
    <w:rsid w:val="00545CCE"/>
    <w:rsid w:val="00546CD9"/>
    <w:rsid w:val="00546D71"/>
    <w:rsid w:val="00547333"/>
    <w:rsid w:val="0055301D"/>
    <w:rsid w:val="005539CE"/>
    <w:rsid w:val="00554917"/>
    <w:rsid w:val="005552DC"/>
    <w:rsid w:val="00560ED4"/>
    <w:rsid w:val="00562E06"/>
    <w:rsid w:val="00564DFA"/>
    <w:rsid w:val="00567D95"/>
    <w:rsid w:val="00570C3E"/>
    <w:rsid w:val="005722F8"/>
    <w:rsid w:val="005725C7"/>
    <w:rsid w:val="00573921"/>
    <w:rsid w:val="00573B4C"/>
    <w:rsid w:val="00573DBE"/>
    <w:rsid w:val="00575DEA"/>
    <w:rsid w:val="005773B5"/>
    <w:rsid w:val="00577474"/>
    <w:rsid w:val="00577BE8"/>
    <w:rsid w:val="00577CA3"/>
    <w:rsid w:val="00577ECA"/>
    <w:rsid w:val="00581B64"/>
    <w:rsid w:val="005841A7"/>
    <w:rsid w:val="005845D4"/>
    <w:rsid w:val="0059339A"/>
    <w:rsid w:val="005A0289"/>
    <w:rsid w:val="005A2B43"/>
    <w:rsid w:val="005B2642"/>
    <w:rsid w:val="005B3192"/>
    <w:rsid w:val="005B4E1D"/>
    <w:rsid w:val="005C06EB"/>
    <w:rsid w:val="005C13A0"/>
    <w:rsid w:val="005C17BF"/>
    <w:rsid w:val="005C2920"/>
    <w:rsid w:val="005C2A9C"/>
    <w:rsid w:val="005C683C"/>
    <w:rsid w:val="005C6ACE"/>
    <w:rsid w:val="005D0496"/>
    <w:rsid w:val="005D16EB"/>
    <w:rsid w:val="005D5C7D"/>
    <w:rsid w:val="005E0349"/>
    <w:rsid w:val="005E14BE"/>
    <w:rsid w:val="005E21E8"/>
    <w:rsid w:val="005E2771"/>
    <w:rsid w:val="005E442E"/>
    <w:rsid w:val="005E5D27"/>
    <w:rsid w:val="00605473"/>
    <w:rsid w:val="00605C26"/>
    <w:rsid w:val="0060799F"/>
    <w:rsid w:val="00607F7A"/>
    <w:rsid w:val="006102B6"/>
    <w:rsid w:val="006102C0"/>
    <w:rsid w:val="006113B3"/>
    <w:rsid w:val="006123BA"/>
    <w:rsid w:val="0061274E"/>
    <w:rsid w:val="006138F4"/>
    <w:rsid w:val="0061539B"/>
    <w:rsid w:val="006162A1"/>
    <w:rsid w:val="006167EA"/>
    <w:rsid w:val="00616CF0"/>
    <w:rsid w:val="00620A43"/>
    <w:rsid w:val="006227C6"/>
    <w:rsid w:val="006230F0"/>
    <w:rsid w:val="00625595"/>
    <w:rsid w:val="00625BF1"/>
    <w:rsid w:val="00625E51"/>
    <w:rsid w:val="00626538"/>
    <w:rsid w:val="00633857"/>
    <w:rsid w:val="00636280"/>
    <w:rsid w:val="006366BB"/>
    <w:rsid w:val="006379A5"/>
    <w:rsid w:val="00637E4C"/>
    <w:rsid w:val="00640026"/>
    <w:rsid w:val="00640C83"/>
    <w:rsid w:val="00641026"/>
    <w:rsid w:val="006410F6"/>
    <w:rsid w:val="00642191"/>
    <w:rsid w:val="006426FB"/>
    <w:rsid w:val="00643332"/>
    <w:rsid w:val="006434DC"/>
    <w:rsid w:val="006476AD"/>
    <w:rsid w:val="0065009F"/>
    <w:rsid w:val="00650860"/>
    <w:rsid w:val="00650E13"/>
    <w:rsid w:val="00651EB4"/>
    <w:rsid w:val="00652072"/>
    <w:rsid w:val="00654A23"/>
    <w:rsid w:val="006554D6"/>
    <w:rsid w:val="00657443"/>
    <w:rsid w:val="00661C97"/>
    <w:rsid w:val="006628C5"/>
    <w:rsid w:val="00662F4D"/>
    <w:rsid w:val="0066327B"/>
    <w:rsid w:val="00665174"/>
    <w:rsid w:val="00665B08"/>
    <w:rsid w:val="00666CA5"/>
    <w:rsid w:val="00670B8A"/>
    <w:rsid w:val="0067195F"/>
    <w:rsid w:val="00671D9A"/>
    <w:rsid w:val="00672C77"/>
    <w:rsid w:val="00673041"/>
    <w:rsid w:val="00673F29"/>
    <w:rsid w:val="006752A2"/>
    <w:rsid w:val="00682BFA"/>
    <w:rsid w:val="006844C9"/>
    <w:rsid w:val="006847EA"/>
    <w:rsid w:val="006848A2"/>
    <w:rsid w:val="00684CA2"/>
    <w:rsid w:val="00687A72"/>
    <w:rsid w:val="00690023"/>
    <w:rsid w:val="00691C22"/>
    <w:rsid w:val="00692985"/>
    <w:rsid w:val="006A5F29"/>
    <w:rsid w:val="006B0A93"/>
    <w:rsid w:val="006B154B"/>
    <w:rsid w:val="006B166E"/>
    <w:rsid w:val="006B1E21"/>
    <w:rsid w:val="006B3460"/>
    <w:rsid w:val="006B497D"/>
    <w:rsid w:val="006B49EC"/>
    <w:rsid w:val="006B60D5"/>
    <w:rsid w:val="006B7A0C"/>
    <w:rsid w:val="006C004C"/>
    <w:rsid w:val="006C0BC8"/>
    <w:rsid w:val="006C26AB"/>
    <w:rsid w:val="006C671A"/>
    <w:rsid w:val="006C6E99"/>
    <w:rsid w:val="006D2097"/>
    <w:rsid w:val="006D324D"/>
    <w:rsid w:val="006D635E"/>
    <w:rsid w:val="006E0A41"/>
    <w:rsid w:val="006E2546"/>
    <w:rsid w:val="006E2674"/>
    <w:rsid w:val="006E3ED3"/>
    <w:rsid w:val="006E4B94"/>
    <w:rsid w:val="006E515A"/>
    <w:rsid w:val="006E7EAE"/>
    <w:rsid w:val="006F4193"/>
    <w:rsid w:val="006F461D"/>
    <w:rsid w:val="006F4667"/>
    <w:rsid w:val="006F492F"/>
    <w:rsid w:val="006F674C"/>
    <w:rsid w:val="006F7EA1"/>
    <w:rsid w:val="0070219A"/>
    <w:rsid w:val="00702FE3"/>
    <w:rsid w:val="00703C83"/>
    <w:rsid w:val="00703D0F"/>
    <w:rsid w:val="00705014"/>
    <w:rsid w:val="00705B03"/>
    <w:rsid w:val="00706E51"/>
    <w:rsid w:val="00710F2A"/>
    <w:rsid w:val="007152B1"/>
    <w:rsid w:val="00716D1A"/>
    <w:rsid w:val="00717F75"/>
    <w:rsid w:val="00720F64"/>
    <w:rsid w:val="007220B9"/>
    <w:rsid w:val="007238CA"/>
    <w:rsid w:val="00723E36"/>
    <w:rsid w:val="0072469C"/>
    <w:rsid w:val="00730B05"/>
    <w:rsid w:val="00730B4C"/>
    <w:rsid w:val="00731182"/>
    <w:rsid w:val="007314DC"/>
    <w:rsid w:val="0073250F"/>
    <w:rsid w:val="00735B5B"/>
    <w:rsid w:val="00735FF8"/>
    <w:rsid w:val="0073660C"/>
    <w:rsid w:val="00740700"/>
    <w:rsid w:val="00741B93"/>
    <w:rsid w:val="00741E33"/>
    <w:rsid w:val="0074426B"/>
    <w:rsid w:val="007451F5"/>
    <w:rsid w:val="007500B7"/>
    <w:rsid w:val="00756498"/>
    <w:rsid w:val="0075665E"/>
    <w:rsid w:val="00757532"/>
    <w:rsid w:val="007602FA"/>
    <w:rsid w:val="00760371"/>
    <w:rsid w:val="007630BF"/>
    <w:rsid w:val="00763312"/>
    <w:rsid w:val="00767C07"/>
    <w:rsid w:val="007700BA"/>
    <w:rsid w:val="00772EEC"/>
    <w:rsid w:val="0077363C"/>
    <w:rsid w:val="007769B1"/>
    <w:rsid w:val="00776B44"/>
    <w:rsid w:val="007802B9"/>
    <w:rsid w:val="0078080B"/>
    <w:rsid w:val="00781C87"/>
    <w:rsid w:val="007826BC"/>
    <w:rsid w:val="0078319E"/>
    <w:rsid w:val="00785CC9"/>
    <w:rsid w:val="007860EE"/>
    <w:rsid w:val="0078729A"/>
    <w:rsid w:val="00794000"/>
    <w:rsid w:val="0079450C"/>
    <w:rsid w:val="00794D8A"/>
    <w:rsid w:val="00795963"/>
    <w:rsid w:val="007A0BB9"/>
    <w:rsid w:val="007A12F6"/>
    <w:rsid w:val="007A339D"/>
    <w:rsid w:val="007A6723"/>
    <w:rsid w:val="007B114B"/>
    <w:rsid w:val="007B30C0"/>
    <w:rsid w:val="007B3AD2"/>
    <w:rsid w:val="007B3BC3"/>
    <w:rsid w:val="007B4705"/>
    <w:rsid w:val="007B4EB1"/>
    <w:rsid w:val="007B6D58"/>
    <w:rsid w:val="007B7747"/>
    <w:rsid w:val="007C26E8"/>
    <w:rsid w:val="007C3C86"/>
    <w:rsid w:val="007C5230"/>
    <w:rsid w:val="007C55C1"/>
    <w:rsid w:val="007D0645"/>
    <w:rsid w:val="007D1DA3"/>
    <w:rsid w:val="007D67CE"/>
    <w:rsid w:val="007D7442"/>
    <w:rsid w:val="007D78CD"/>
    <w:rsid w:val="007D7DCB"/>
    <w:rsid w:val="007E191B"/>
    <w:rsid w:val="007E1C4E"/>
    <w:rsid w:val="007E2847"/>
    <w:rsid w:val="007E4474"/>
    <w:rsid w:val="007E5547"/>
    <w:rsid w:val="007E736C"/>
    <w:rsid w:val="007E761D"/>
    <w:rsid w:val="007F0C54"/>
    <w:rsid w:val="007F3521"/>
    <w:rsid w:val="007F400A"/>
    <w:rsid w:val="007F68F1"/>
    <w:rsid w:val="00800373"/>
    <w:rsid w:val="00806F9B"/>
    <w:rsid w:val="00807EF9"/>
    <w:rsid w:val="00811126"/>
    <w:rsid w:val="00812E41"/>
    <w:rsid w:val="00813125"/>
    <w:rsid w:val="00815347"/>
    <w:rsid w:val="00815798"/>
    <w:rsid w:val="00820319"/>
    <w:rsid w:val="00821330"/>
    <w:rsid w:val="00824E47"/>
    <w:rsid w:val="0082582C"/>
    <w:rsid w:val="008302A6"/>
    <w:rsid w:val="00830733"/>
    <w:rsid w:val="00832223"/>
    <w:rsid w:val="00832451"/>
    <w:rsid w:val="008349E9"/>
    <w:rsid w:val="00836F61"/>
    <w:rsid w:val="0083775D"/>
    <w:rsid w:val="008414DD"/>
    <w:rsid w:val="0084324A"/>
    <w:rsid w:val="008456CE"/>
    <w:rsid w:val="008503BD"/>
    <w:rsid w:val="00852ADC"/>
    <w:rsid w:val="008537D1"/>
    <w:rsid w:val="00853CF6"/>
    <w:rsid w:val="0085405E"/>
    <w:rsid w:val="008575F5"/>
    <w:rsid w:val="0085771F"/>
    <w:rsid w:val="008629FF"/>
    <w:rsid w:val="00862C37"/>
    <w:rsid w:val="008661FD"/>
    <w:rsid w:val="00866AF3"/>
    <w:rsid w:val="00867ACA"/>
    <w:rsid w:val="008726CB"/>
    <w:rsid w:val="00872E18"/>
    <w:rsid w:val="00875BB0"/>
    <w:rsid w:val="0087609D"/>
    <w:rsid w:val="00877209"/>
    <w:rsid w:val="00880E3E"/>
    <w:rsid w:val="00881742"/>
    <w:rsid w:val="00884666"/>
    <w:rsid w:val="00885EA7"/>
    <w:rsid w:val="008863BE"/>
    <w:rsid w:val="00886FB3"/>
    <w:rsid w:val="00887E37"/>
    <w:rsid w:val="00895445"/>
    <w:rsid w:val="008968AB"/>
    <w:rsid w:val="00896926"/>
    <w:rsid w:val="008A1762"/>
    <w:rsid w:val="008A3CE9"/>
    <w:rsid w:val="008B02F1"/>
    <w:rsid w:val="008B522C"/>
    <w:rsid w:val="008B6A2F"/>
    <w:rsid w:val="008B73B4"/>
    <w:rsid w:val="008C1E27"/>
    <w:rsid w:val="008C2C2D"/>
    <w:rsid w:val="008C5309"/>
    <w:rsid w:val="008C5BC7"/>
    <w:rsid w:val="008C6E57"/>
    <w:rsid w:val="008C7E67"/>
    <w:rsid w:val="008D06C3"/>
    <w:rsid w:val="008D07A3"/>
    <w:rsid w:val="008D323F"/>
    <w:rsid w:val="008D58EF"/>
    <w:rsid w:val="008D6952"/>
    <w:rsid w:val="008D7649"/>
    <w:rsid w:val="008E04EA"/>
    <w:rsid w:val="008E0B28"/>
    <w:rsid w:val="008E1346"/>
    <w:rsid w:val="008E2454"/>
    <w:rsid w:val="008E256A"/>
    <w:rsid w:val="008E7495"/>
    <w:rsid w:val="008F0903"/>
    <w:rsid w:val="008F0B31"/>
    <w:rsid w:val="00901A1B"/>
    <w:rsid w:val="0090257E"/>
    <w:rsid w:val="00902B85"/>
    <w:rsid w:val="009033E7"/>
    <w:rsid w:val="0090341B"/>
    <w:rsid w:val="0090443A"/>
    <w:rsid w:val="00910128"/>
    <w:rsid w:val="00912892"/>
    <w:rsid w:val="00913027"/>
    <w:rsid w:val="0091338A"/>
    <w:rsid w:val="009138BD"/>
    <w:rsid w:val="00916576"/>
    <w:rsid w:val="00917910"/>
    <w:rsid w:val="00920AD2"/>
    <w:rsid w:val="00921C3D"/>
    <w:rsid w:val="009264D0"/>
    <w:rsid w:val="00930EA1"/>
    <w:rsid w:val="00940A77"/>
    <w:rsid w:val="00940E0F"/>
    <w:rsid w:val="009422FE"/>
    <w:rsid w:val="009429BF"/>
    <w:rsid w:val="00943E01"/>
    <w:rsid w:val="0094519A"/>
    <w:rsid w:val="00946DBC"/>
    <w:rsid w:val="00950C32"/>
    <w:rsid w:val="009540BB"/>
    <w:rsid w:val="00956546"/>
    <w:rsid w:val="00956B99"/>
    <w:rsid w:val="009624B5"/>
    <w:rsid w:val="00962FC5"/>
    <w:rsid w:val="009631C5"/>
    <w:rsid w:val="00963350"/>
    <w:rsid w:val="00964027"/>
    <w:rsid w:val="0096454D"/>
    <w:rsid w:val="0097147E"/>
    <w:rsid w:val="00971896"/>
    <w:rsid w:val="009742D2"/>
    <w:rsid w:val="00976F47"/>
    <w:rsid w:val="00977A04"/>
    <w:rsid w:val="009807F8"/>
    <w:rsid w:val="00980B22"/>
    <w:rsid w:val="00982489"/>
    <w:rsid w:val="00984831"/>
    <w:rsid w:val="00984C7A"/>
    <w:rsid w:val="009851FB"/>
    <w:rsid w:val="00990C6C"/>
    <w:rsid w:val="0099101B"/>
    <w:rsid w:val="00994DFE"/>
    <w:rsid w:val="0099595A"/>
    <w:rsid w:val="00997195"/>
    <w:rsid w:val="009A1BEC"/>
    <w:rsid w:val="009A1C81"/>
    <w:rsid w:val="009A5CB7"/>
    <w:rsid w:val="009A661F"/>
    <w:rsid w:val="009B0242"/>
    <w:rsid w:val="009B07B3"/>
    <w:rsid w:val="009B096D"/>
    <w:rsid w:val="009B10AA"/>
    <w:rsid w:val="009B2A79"/>
    <w:rsid w:val="009B4736"/>
    <w:rsid w:val="009B53B1"/>
    <w:rsid w:val="009B6C5D"/>
    <w:rsid w:val="009B7CF1"/>
    <w:rsid w:val="009C3229"/>
    <w:rsid w:val="009C59DF"/>
    <w:rsid w:val="009C60F4"/>
    <w:rsid w:val="009C6992"/>
    <w:rsid w:val="009D13FB"/>
    <w:rsid w:val="009D1BB3"/>
    <w:rsid w:val="009D2756"/>
    <w:rsid w:val="009E1641"/>
    <w:rsid w:val="009E1A1F"/>
    <w:rsid w:val="009E2A53"/>
    <w:rsid w:val="009E592B"/>
    <w:rsid w:val="009E62B9"/>
    <w:rsid w:val="009E6B12"/>
    <w:rsid w:val="009E7736"/>
    <w:rsid w:val="009F1295"/>
    <w:rsid w:val="009F3BE4"/>
    <w:rsid w:val="009F461C"/>
    <w:rsid w:val="009F4EA1"/>
    <w:rsid w:val="009F7011"/>
    <w:rsid w:val="009F76D4"/>
    <w:rsid w:val="009F7BE5"/>
    <w:rsid w:val="00A015E7"/>
    <w:rsid w:val="00A02375"/>
    <w:rsid w:val="00A03AE5"/>
    <w:rsid w:val="00A03F34"/>
    <w:rsid w:val="00A041B9"/>
    <w:rsid w:val="00A05F17"/>
    <w:rsid w:val="00A11DE0"/>
    <w:rsid w:val="00A1284E"/>
    <w:rsid w:val="00A12D80"/>
    <w:rsid w:val="00A1368B"/>
    <w:rsid w:val="00A137C1"/>
    <w:rsid w:val="00A13804"/>
    <w:rsid w:val="00A1404F"/>
    <w:rsid w:val="00A15EFA"/>
    <w:rsid w:val="00A16C70"/>
    <w:rsid w:val="00A16EB1"/>
    <w:rsid w:val="00A31EDB"/>
    <w:rsid w:val="00A32E69"/>
    <w:rsid w:val="00A40E52"/>
    <w:rsid w:val="00A41CAF"/>
    <w:rsid w:val="00A42F0F"/>
    <w:rsid w:val="00A445F7"/>
    <w:rsid w:val="00A472E5"/>
    <w:rsid w:val="00A50426"/>
    <w:rsid w:val="00A51A73"/>
    <w:rsid w:val="00A559A6"/>
    <w:rsid w:val="00A5680E"/>
    <w:rsid w:val="00A57CAC"/>
    <w:rsid w:val="00A61C86"/>
    <w:rsid w:val="00A649A7"/>
    <w:rsid w:val="00A649AA"/>
    <w:rsid w:val="00A71CEA"/>
    <w:rsid w:val="00A724F5"/>
    <w:rsid w:val="00A7319E"/>
    <w:rsid w:val="00A7365E"/>
    <w:rsid w:val="00A757DA"/>
    <w:rsid w:val="00A759F3"/>
    <w:rsid w:val="00A75FC5"/>
    <w:rsid w:val="00A76340"/>
    <w:rsid w:val="00A779D6"/>
    <w:rsid w:val="00A80652"/>
    <w:rsid w:val="00A80E04"/>
    <w:rsid w:val="00A81CE4"/>
    <w:rsid w:val="00A85F74"/>
    <w:rsid w:val="00A905BB"/>
    <w:rsid w:val="00A94B9A"/>
    <w:rsid w:val="00AA0C02"/>
    <w:rsid w:val="00AA1D49"/>
    <w:rsid w:val="00AA2C66"/>
    <w:rsid w:val="00AA5C7F"/>
    <w:rsid w:val="00AA5F28"/>
    <w:rsid w:val="00AA65FE"/>
    <w:rsid w:val="00AA68E9"/>
    <w:rsid w:val="00AA7F0E"/>
    <w:rsid w:val="00AB1B18"/>
    <w:rsid w:val="00AB37DE"/>
    <w:rsid w:val="00AB42C8"/>
    <w:rsid w:val="00AB6F88"/>
    <w:rsid w:val="00AC149A"/>
    <w:rsid w:val="00AC29E5"/>
    <w:rsid w:val="00AC3447"/>
    <w:rsid w:val="00AC360F"/>
    <w:rsid w:val="00AC393F"/>
    <w:rsid w:val="00AC50A7"/>
    <w:rsid w:val="00AC7E3E"/>
    <w:rsid w:val="00AD0CF4"/>
    <w:rsid w:val="00AD2CDA"/>
    <w:rsid w:val="00AD3454"/>
    <w:rsid w:val="00AD4C0A"/>
    <w:rsid w:val="00AE128C"/>
    <w:rsid w:val="00AE3F31"/>
    <w:rsid w:val="00AE4D8E"/>
    <w:rsid w:val="00AE66E4"/>
    <w:rsid w:val="00AF0D46"/>
    <w:rsid w:val="00AF15F4"/>
    <w:rsid w:val="00AF4608"/>
    <w:rsid w:val="00AF5D26"/>
    <w:rsid w:val="00AF7121"/>
    <w:rsid w:val="00B02006"/>
    <w:rsid w:val="00B025B7"/>
    <w:rsid w:val="00B05826"/>
    <w:rsid w:val="00B1072B"/>
    <w:rsid w:val="00B10B57"/>
    <w:rsid w:val="00B11469"/>
    <w:rsid w:val="00B11E25"/>
    <w:rsid w:val="00B1663D"/>
    <w:rsid w:val="00B17188"/>
    <w:rsid w:val="00B173A5"/>
    <w:rsid w:val="00B21AD9"/>
    <w:rsid w:val="00B23168"/>
    <w:rsid w:val="00B231E1"/>
    <w:rsid w:val="00B238CE"/>
    <w:rsid w:val="00B23CB3"/>
    <w:rsid w:val="00B2507A"/>
    <w:rsid w:val="00B2698F"/>
    <w:rsid w:val="00B355ED"/>
    <w:rsid w:val="00B378BB"/>
    <w:rsid w:val="00B44B09"/>
    <w:rsid w:val="00B47663"/>
    <w:rsid w:val="00B47935"/>
    <w:rsid w:val="00B50B01"/>
    <w:rsid w:val="00B57DD2"/>
    <w:rsid w:val="00B616EE"/>
    <w:rsid w:val="00B63D69"/>
    <w:rsid w:val="00B6499E"/>
    <w:rsid w:val="00B64E71"/>
    <w:rsid w:val="00B65085"/>
    <w:rsid w:val="00B65EAF"/>
    <w:rsid w:val="00B65EC9"/>
    <w:rsid w:val="00B705D6"/>
    <w:rsid w:val="00B70D25"/>
    <w:rsid w:val="00B71CA3"/>
    <w:rsid w:val="00B71D59"/>
    <w:rsid w:val="00B74BED"/>
    <w:rsid w:val="00B75072"/>
    <w:rsid w:val="00B76F6A"/>
    <w:rsid w:val="00B81F14"/>
    <w:rsid w:val="00B82A77"/>
    <w:rsid w:val="00B82E13"/>
    <w:rsid w:val="00B840A8"/>
    <w:rsid w:val="00B842A4"/>
    <w:rsid w:val="00B848E9"/>
    <w:rsid w:val="00B87B3C"/>
    <w:rsid w:val="00B9043A"/>
    <w:rsid w:val="00B96F15"/>
    <w:rsid w:val="00BA1194"/>
    <w:rsid w:val="00BA16BB"/>
    <w:rsid w:val="00BA1E01"/>
    <w:rsid w:val="00BA3CE0"/>
    <w:rsid w:val="00BA47F0"/>
    <w:rsid w:val="00BA7C50"/>
    <w:rsid w:val="00BB13D9"/>
    <w:rsid w:val="00BB5A33"/>
    <w:rsid w:val="00BB62C6"/>
    <w:rsid w:val="00BB7A30"/>
    <w:rsid w:val="00BB7BFA"/>
    <w:rsid w:val="00BC22CC"/>
    <w:rsid w:val="00BC239B"/>
    <w:rsid w:val="00BC2D8F"/>
    <w:rsid w:val="00BC2FB2"/>
    <w:rsid w:val="00BC33CC"/>
    <w:rsid w:val="00BC532B"/>
    <w:rsid w:val="00BC53C2"/>
    <w:rsid w:val="00BC7CC6"/>
    <w:rsid w:val="00BD0653"/>
    <w:rsid w:val="00BD1F5D"/>
    <w:rsid w:val="00BD5A7B"/>
    <w:rsid w:val="00BD76DE"/>
    <w:rsid w:val="00BE3735"/>
    <w:rsid w:val="00BE7F68"/>
    <w:rsid w:val="00BF098A"/>
    <w:rsid w:val="00BF2BDD"/>
    <w:rsid w:val="00BF3217"/>
    <w:rsid w:val="00BF38AA"/>
    <w:rsid w:val="00BF562D"/>
    <w:rsid w:val="00C06411"/>
    <w:rsid w:val="00C07372"/>
    <w:rsid w:val="00C10A16"/>
    <w:rsid w:val="00C11A17"/>
    <w:rsid w:val="00C123E3"/>
    <w:rsid w:val="00C13F27"/>
    <w:rsid w:val="00C147A7"/>
    <w:rsid w:val="00C17E0A"/>
    <w:rsid w:val="00C2238F"/>
    <w:rsid w:val="00C22503"/>
    <w:rsid w:val="00C22560"/>
    <w:rsid w:val="00C23396"/>
    <w:rsid w:val="00C23E33"/>
    <w:rsid w:val="00C2496B"/>
    <w:rsid w:val="00C40013"/>
    <w:rsid w:val="00C43D48"/>
    <w:rsid w:val="00C440A6"/>
    <w:rsid w:val="00C44D74"/>
    <w:rsid w:val="00C4545A"/>
    <w:rsid w:val="00C4567C"/>
    <w:rsid w:val="00C51F88"/>
    <w:rsid w:val="00C536C3"/>
    <w:rsid w:val="00C536D9"/>
    <w:rsid w:val="00C54F52"/>
    <w:rsid w:val="00C569A5"/>
    <w:rsid w:val="00C608C1"/>
    <w:rsid w:val="00C655B2"/>
    <w:rsid w:val="00C65C26"/>
    <w:rsid w:val="00C66F0E"/>
    <w:rsid w:val="00C71CD8"/>
    <w:rsid w:val="00C722B3"/>
    <w:rsid w:val="00C72347"/>
    <w:rsid w:val="00C725F5"/>
    <w:rsid w:val="00C73852"/>
    <w:rsid w:val="00C73BCB"/>
    <w:rsid w:val="00C740F9"/>
    <w:rsid w:val="00C757E9"/>
    <w:rsid w:val="00C77164"/>
    <w:rsid w:val="00C8037E"/>
    <w:rsid w:val="00C84434"/>
    <w:rsid w:val="00C85DFD"/>
    <w:rsid w:val="00C85F80"/>
    <w:rsid w:val="00C9120B"/>
    <w:rsid w:val="00C91C8D"/>
    <w:rsid w:val="00C94543"/>
    <w:rsid w:val="00C94C1A"/>
    <w:rsid w:val="00C96D13"/>
    <w:rsid w:val="00C9774C"/>
    <w:rsid w:val="00CA0073"/>
    <w:rsid w:val="00CA1595"/>
    <w:rsid w:val="00CA3445"/>
    <w:rsid w:val="00CA3AA4"/>
    <w:rsid w:val="00CB1251"/>
    <w:rsid w:val="00CB160E"/>
    <w:rsid w:val="00CB1F69"/>
    <w:rsid w:val="00CB4036"/>
    <w:rsid w:val="00CB43C5"/>
    <w:rsid w:val="00CB462B"/>
    <w:rsid w:val="00CB4820"/>
    <w:rsid w:val="00CB6698"/>
    <w:rsid w:val="00CB7057"/>
    <w:rsid w:val="00CB7D2E"/>
    <w:rsid w:val="00CC0B7A"/>
    <w:rsid w:val="00CC1047"/>
    <w:rsid w:val="00CC412D"/>
    <w:rsid w:val="00CC49B3"/>
    <w:rsid w:val="00CC4BAE"/>
    <w:rsid w:val="00CC5537"/>
    <w:rsid w:val="00CC6B7C"/>
    <w:rsid w:val="00CC735E"/>
    <w:rsid w:val="00CD17E5"/>
    <w:rsid w:val="00CE0675"/>
    <w:rsid w:val="00CE09FD"/>
    <w:rsid w:val="00CE0E72"/>
    <w:rsid w:val="00CE28CD"/>
    <w:rsid w:val="00CE4699"/>
    <w:rsid w:val="00CE50C7"/>
    <w:rsid w:val="00CE5C29"/>
    <w:rsid w:val="00CE5CA0"/>
    <w:rsid w:val="00CE5D39"/>
    <w:rsid w:val="00CE7F54"/>
    <w:rsid w:val="00CF0FF9"/>
    <w:rsid w:val="00CF2CE1"/>
    <w:rsid w:val="00CF2E66"/>
    <w:rsid w:val="00CF3379"/>
    <w:rsid w:val="00CF3CFA"/>
    <w:rsid w:val="00CF55AB"/>
    <w:rsid w:val="00CF635F"/>
    <w:rsid w:val="00CF6781"/>
    <w:rsid w:val="00CF735B"/>
    <w:rsid w:val="00CF757C"/>
    <w:rsid w:val="00D024DE"/>
    <w:rsid w:val="00D02E50"/>
    <w:rsid w:val="00D048B7"/>
    <w:rsid w:val="00D071FA"/>
    <w:rsid w:val="00D116A5"/>
    <w:rsid w:val="00D12D6B"/>
    <w:rsid w:val="00D1347B"/>
    <w:rsid w:val="00D13D41"/>
    <w:rsid w:val="00D1516D"/>
    <w:rsid w:val="00D17740"/>
    <w:rsid w:val="00D209B1"/>
    <w:rsid w:val="00D20A97"/>
    <w:rsid w:val="00D24FEC"/>
    <w:rsid w:val="00D265AF"/>
    <w:rsid w:val="00D27D0C"/>
    <w:rsid w:val="00D3037B"/>
    <w:rsid w:val="00D30877"/>
    <w:rsid w:val="00D30DAB"/>
    <w:rsid w:val="00D32ECB"/>
    <w:rsid w:val="00D33759"/>
    <w:rsid w:val="00D33905"/>
    <w:rsid w:val="00D420A6"/>
    <w:rsid w:val="00D424A5"/>
    <w:rsid w:val="00D44732"/>
    <w:rsid w:val="00D45D5D"/>
    <w:rsid w:val="00D4613E"/>
    <w:rsid w:val="00D46683"/>
    <w:rsid w:val="00D46699"/>
    <w:rsid w:val="00D47B64"/>
    <w:rsid w:val="00D51788"/>
    <w:rsid w:val="00D5256E"/>
    <w:rsid w:val="00D5435F"/>
    <w:rsid w:val="00D565F2"/>
    <w:rsid w:val="00D56874"/>
    <w:rsid w:val="00D5690A"/>
    <w:rsid w:val="00D56C5C"/>
    <w:rsid w:val="00D6363C"/>
    <w:rsid w:val="00D64DE7"/>
    <w:rsid w:val="00D65AE1"/>
    <w:rsid w:val="00D66666"/>
    <w:rsid w:val="00D676A5"/>
    <w:rsid w:val="00D67892"/>
    <w:rsid w:val="00D71F75"/>
    <w:rsid w:val="00D753B1"/>
    <w:rsid w:val="00D759E7"/>
    <w:rsid w:val="00D76E7A"/>
    <w:rsid w:val="00D77A6E"/>
    <w:rsid w:val="00D807DE"/>
    <w:rsid w:val="00D81782"/>
    <w:rsid w:val="00D850F8"/>
    <w:rsid w:val="00D91868"/>
    <w:rsid w:val="00D923F9"/>
    <w:rsid w:val="00D92495"/>
    <w:rsid w:val="00D92739"/>
    <w:rsid w:val="00DA1020"/>
    <w:rsid w:val="00DA2EA6"/>
    <w:rsid w:val="00DA3709"/>
    <w:rsid w:val="00DA5C7C"/>
    <w:rsid w:val="00DB1B11"/>
    <w:rsid w:val="00DB1B53"/>
    <w:rsid w:val="00DC4265"/>
    <w:rsid w:val="00DC4362"/>
    <w:rsid w:val="00DC5622"/>
    <w:rsid w:val="00DC6638"/>
    <w:rsid w:val="00DC704E"/>
    <w:rsid w:val="00DC75D7"/>
    <w:rsid w:val="00DD030A"/>
    <w:rsid w:val="00DD2947"/>
    <w:rsid w:val="00DD68AA"/>
    <w:rsid w:val="00DD78B1"/>
    <w:rsid w:val="00DD7E51"/>
    <w:rsid w:val="00DE28CE"/>
    <w:rsid w:val="00DE5A5C"/>
    <w:rsid w:val="00DE63E3"/>
    <w:rsid w:val="00DF38BB"/>
    <w:rsid w:val="00DF4CE1"/>
    <w:rsid w:val="00E008FA"/>
    <w:rsid w:val="00E0165C"/>
    <w:rsid w:val="00E02F09"/>
    <w:rsid w:val="00E0401D"/>
    <w:rsid w:val="00E0403D"/>
    <w:rsid w:val="00E04231"/>
    <w:rsid w:val="00E0491D"/>
    <w:rsid w:val="00E0498A"/>
    <w:rsid w:val="00E07295"/>
    <w:rsid w:val="00E0778D"/>
    <w:rsid w:val="00E11501"/>
    <w:rsid w:val="00E13AFA"/>
    <w:rsid w:val="00E1521D"/>
    <w:rsid w:val="00E20172"/>
    <w:rsid w:val="00E24B20"/>
    <w:rsid w:val="00E2516F"/>
    <w:rsid w:val="00E26B8A"/>
    <w:rsid w:val="00E270A5"/>
    <w:rsid w:val="00E301D2"/>
    <w:rsid w:val="00E31496"/>
    <w:rsid w:val="00E3755C"/>
    <w:rsid w:val="00E379A7"/>
    <w:rsid w:val="00E4130A"/>
    <w:rsid w:val="00E44E8D"/>
    <w:rsid w:val="00E44F4A"/>
    <w:rsid w:val="00E47289"/>
    <w:rsid w:val="00E4768D"/>
    <w:rsid w:val="00E50B7E"/>
    <w:rsid w:val="00E51019"/>
    <w:rsid w:val="00E511D8"/>
    <w:rsid w:val="00E515F8"/>
    <w:rsid w:val="00E545F1"/>
    <w:rsid w:val="00E56EF6"/>
    <w:rsid w:val="00E63233"/>
    <w:rsid w:val="00E70EF3"/>
    <w:rsid w:val="00E73EFD"/>
    <w:rsid w:val="00E74B7E"/>
    <w:rsid w:val="00E75C3A"/>
    <w:rsid w:val="00E7748F"/>
    <w:rsid w:val="00E77DDF"/>
    <w:rsid w:val="00E82230"/>
    <w:rsid w:val="00E82989"/>
    <w:rsid w:val="00E84588"/>
    <w:rsid w:val="00E8715D"/>
    <w:rsid w:val="00E874F0"/>
    <w:rsid w:val="00E90B4F"/>
    <w:rsid w:val="00E91DBF"/>
    <w:rsid w:val="00E9386A"/>
    <w:rsid w:val="00E95A06"/>
    <w:rsid w:val="00E97085"/>
    <w:rsid w:val="00E976C4"/>
    <w:rsid w:val="00EA109C"/>
    <w:rsid w:val="00EA12CA"/>
    <w:rsid w:val="00EA40E4"/>
    <w:rsid w:val="00EA512F"/>
    <w:rsid w:val="00EA6918"/>
    <w:rsid w:val="00EB60E8"/>
    <w:rsid w:val="00EB641D"/>
    <w:rsid w:val="00EB690F"/>
    <w:rsid w:val="00EC1654"/>
    <w:rsid w:val="00EC44EC"/>
    <w:rsid w:val="00EC6000"/>
    <w:rsid w:val="00ED0F1A"/>
    <w:rsid w:val="00ED22BA"/>
    <w:rsid w:val="00ED30B5"/>
    <w:rsid w:val="00ED46D2"/>
    <w:rsid w:val="00ED4E96"/>
    <w:rsid w:val="00ED56F0"/>
    <w:rsid w:val="00EE0AD5"/>
    <w:rsid w:val="00EE3502"/>
    <w:rsid w:val="00EE51C2"/>
    <w:rsid w:val="00EE68BA"/>
    <w:rsid w:val="00EE6C8B"/>
    <w:rsid w:val="00EF0E86"/>
    <w:rsid w:val="00EF1BAE"/>
    <w:rsid w:val="00EF3931"/>
    <w:rsid w:val="00EF5146"/>
    <w:rsid w:val="00EF5949"/>
    <w:rsid w:val="00EF59C0"/>
    <w:rsid w:val="00EF76B4"/>
    <w:rsid w:val="00EF7EF7"/>
    <w:rsid w:val="00F0315A"/>
    <w:rsid w:val="00F034EE"/>
    <w:rsid w:val="00F04197"/>
    <w:rsid w:val="00F130F1"/>
    <w:rsid w:val="00F13827"/>
    <w:rsid w:val="00F1517F"/>
    <w:rsid w:val="00F17C27"/>
    <w:rsid w:val="00F22592"/>
    <w:rsid w:val="00F227AA"/>
    <w:rsid w:val="00F2293E"/>
    <w:rsid w:val="00F25168"/>
    <w:rsid w:val="00F30FB5"/>
    <w:rsid w:val="00F3238C"/>
    <w:rsid w:val="00F41703"/>
    <w:rsid w:val="00F41812"/>
    <w:rsid w:val="00F4264B"/>
    <w:rsid w:val="00F427B6"/>
    <w:rsid w:val="00F43AA0"/>
    <w:rsid w:val="00F44BEF"/>
    <w:rsid w:val="00F45C39"/>
    <w:rsid w:val="00F46963"/>
    <w:rsid w:val="00F517B2"/>
    <w:rsid w:val="00F53059"/>
    <w:rsid w:val="00F600CA"/>
    <w:rsid w:val="00F62430"/>
    <w:rsid w:val="00F62FE3"/>
    <w:rsid w:val="00F6331B"/>
    <w:rsid w:val="00F66046"/>
    <w:rsid w:val="00F663C8"/>
    <w:rsid w:val="00F67190"/>
    <w:rsid w:val="00F70E4A"/>
    <w:rsid w:val="00F70F7B"/>
    <w:rsid w:val="00F7197C"/>
    <w:rsid w:val="00F8255E"/>
    <w:rsid w:val="00F844BE"/>
    <w:rsid w:val="00F86AF7"/>
    <w:rsid w:val="00F871D2"/>
    <w:rsid w:val="00F87454"/>
    <w:rsid w:val="00F87D07"/>
    <w:rsid w:val="00F90A6A"/>
    <w:rsid w:val="00F91750"/>
    <w:rsid w:val="00F93455"/>
    <w:rsid w:val="00F94FBE"/>
    <w:rsid w:val="00F95CAA"/>
    <w:rsid w:val="00F97ED8"/>
    <w:rsid w:val="00F97F4F"/>
    <w:rsid w:val="00FA1A5C"/>
    <w:rsid w:val="00FA2F6A"/>
    <w:rsid w:val="00FA699B"/>
    <w:rsid w:val="00FA6D1D"/>
    <w:rsid w:val="00FA7889"/>
    <w:rsid w:val="00FB031A"/>
    <w:rsid w:val="00FB12DA"/>
    <w:rsid w:val="00FB2FB0"/>
    <w:rsid w:val="00FB3A50"/>
    <w:rsid w:val="00FB688C"/>
    <w:rsid w:val="00FC29E0"/>
    <w:rsid w:val="00FC324B"/>
    <w:rsid w:val="00FC4F92"/>
    <w:rsid w:val="00FC778F"/>
    <w:rsid w:val="00FD08CB"/>
    <w:rsid w:val="00FD5AC6"/>
    <w:rsid w:val="00FE0350"/>
    <w:rsid w:val="00FE0F25"/>
    <w:rsid w:val="00FE476A"/>
    <w:rsid w:val="00FE5A7E"/>
    <w:rsid w:val="00FF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Revision">
    <w:name w:val="Revision"/>
    <w:hidden/>
    <w:uiPriority w:val="99"/>
    <w:semiHidden/>
    <w:rsid w:val="00641026"/>
    <w:rPr>
      <w:rFonts w:ascii="Times New Roman" w:hAnsi="Times New Roman"/>
      <w:sz w:val="24"/>
      <w:szCs w:val="22"/>
    </w:rPr>
  </w:style>
  <w:style w:type="character" w:styleId="CommentReference">
    <w:name w:val="annotation reference"/>
    <w:basedOn w:val="DefaultParagraphFont"/>
    <w:uiPriority w:val="99"/>
    <w:semiHidden/>
    <w:unhideWhenUsed/>
    <w:rsid w:val="00895445"/>
    <w:rPr>
      <w:sz w:val="16"/>
      <w:szCs w:val="16"/>
    </w:rPr>
  </w:style>
  <w:style w:type="paragraph" w:styleId="CommentText">
    <w:name w:val="annotation text"/>
    <w:basedOn w:val="Normal"/>
    <w:link w:val="CommentTextChar"/>
    <w:uiPriority w:val="99"/>
    <w:semiHidden/>
    <w:unhideWhenUsed/>
    <w:rsid w:val="00895445"/>
    <w:rPr>
      <w:sz w:val="20"/>
      <w:szCs w:val="20"/>
    </w:rPr>
  </w:style>
  <w:style w:type="character" w:customStyle="1" w:styleId="CommentTextChar">
    <w:name w:val="Comment Text Char"/>
    <w:basedOn w:val="DefaultParagraphFont"/>
    <w:link w:val="CommentText"/>
    <w:uiPriority w:val="99"/>
    <w:semiHidden/>
    <w:rsid w:val="0089544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95445"/>
    <w:rPr>
      <w:b/>
      <w:bCs/>
    </w:rPr>
  </w:style>
  <w:style w:type="character" w:customStyle="1" w:styleId="CommentSubjectChar">
    <w:name w:val="Comment Subject Char"/>
    <w:basedOn w:val="CommentTextChar"/>
    <w:link w:val="CommentSubject"/>
    <w:uiPriority w:val="99"/>
    <w:semiHidden/>
    <w:rsid w:val="00895445"/>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 w:type="paragraph" w:styleId="Revision">
    <w:name w:val="Revision"/>
    <w:hidden/>
    <w:uiPriority w:val="99"/>
    <w:semiHidden/>
    <w:rsid w:val="00641026"/>
    <w:rPr>
      <w:rFonts w:ascii="Times New Roman" w:hAnsi="Times New Roman"/>
      <w:sz w:val="24"/>
      <w:szCs w:val="22"/>
    </w:rPr>
  </w:style>
  <w:style w:type="character" w:styleId="CommentReference">
    <w:name w:val="annotation reference"/>
    <w:basedOn w:val="DefaultParagraphFont"/>
    <w:uiPriority w:val="99"/>
    <w:semiHidden/>
    <w:unhideWhenUsed/>
    <w:rsid w:val="00895445"/>
    <w:rPr>
      <w:sz w:val="16"/>
      <w:szCs w:val="16"/>
    </w:rPr>
  </w:style>
  <w:style w:type="paragraph" w:styleId="CommentText">
    <w:name w:val="annotation text"/>
    <w:basedOn w:val="Normal"/>
    <w:link w:val="CommentTextChar"/>
    <w:uiPriority w:val="99"/>
    <w:semiHidden/>
    <w:unhideWhenUsed/>
    <w:rsid w:val="00895445"/>
    <w:rPr>
      <w:sz w:val="20"/>
      <w:szCs w:val="20"/>
    </w:rPr>
  </w:style>
  <w:style w:type="character" w:customStyle="1" w:styleId="CommentTextChar">
    <w:name w:val="Comment Text Char"/>
    <w:basedOn w:val="DefaultParagraphFont"/>
    <w:link w:val="CommentText"/>
    <w:uiPriority w:val="99"/>
    <w:semiHidden/>
    <w:rsid w:val="0089544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95445"/>
    <w:rPr>
      <w:b/>
      <w:bCs/>
    </w:rPr>
  </w:style>
  <w:style w:type="character" w:customStyle="1" w:styleId="CommentSubjectChar">
    <w:name w:val="Comment Subject Char"/>
    <w:basedOn w:val="CommentTextChar"/>
    <w:link w:val="CommentSubject"/>
    <w:uiPriority w:val="99"/>
    <w:semiHidden/>
    <w:rsid w:val="00895445"/>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5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1E4DB-EB4B-4E1C-A393-79592FE0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7715</Words>
  <Characters>43978</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Shelton</dc:creator>
  <cp:lastModifiedBy>Jenny Fontes</cp:lastModifiedBy>
  <cp:revision>2</cp:revision>
  <cp:lastPrinted>2019-08-27T18:03:00Z</cp:lastPrinted>
  <dcterms:created xsi:type="dcterms:W3CDTF">2019-08-28T16:26:00Z</dcterms:created>
  <dcterms:modified xsi:type="dcterms:W3CDTF">2019-08-28T16:26:00Z</dcterms:modified>
</cp:coreProperties>
</file>